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  <w:gridCol w:w="1309"/>
        <w:gridCol w:w="3227"/>
      </w:tblGrid>
      <w:tr w:rsidR="00A162D2" w:rsidRPr="000D1D0D" w:rsidTr="00D525C0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:rsidR="00AE41A6" w:rsidRPr="000D1D0D" w:rsidRDefault="00AE41A6" w:rsidP="000D1D0D">
            <w:pPr>
              <w:ind w:left="-57"/>
              <w:jc w:val="both"/>
              <w:rPr>
                <w:b/>
                <w:sz w:val="26"/>
                <w:szCs w:val="26"/>
              </w:rPr>
            </w:pPr>
            <w:r w:rsidRPr="000D1D0D">
              <w:rPr>
                <w:noProof/>
                <w:sz w:val="26"/>
                <w:szCs w:val="26"/>
                <w:lang w:val="ru-RU" w:eastAsia="ru-RU"/>
              </w:rPr>
              <w:drawing>
                <wp:inline distT="0" distB="0" distL="0" distR="0">
                  <wp:extent cx="2952000" cy="552683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A6" w:rsidRPr="000D1D0D" w:rsidRDefault="00AE41A6" w:rsidP="000D1D0D">
            <w:pPr>
              <w:ind w:left="-71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27" w:type="dxa"/>
            <w:tcBorders>
              <w:left w:val="single" w:sz="4" w:space="0" w:color="auto"/>
            </w:tcBorders>
            <w:vAlign w:val="center"/>
          </w:tcPr>
          <w:p w:rsidR="00AE41A6" w:rsidRPr="000D1D0D" w:rsidRDefault="00126DD8" w:rsidP="000D1D0D">
            <w:pPr>
              <w:jc w:val="both"/>
              <w:rPr>
                <w:b/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Кафедра органічної хімії і технології органічних речовин</w:t>
            </w:r>
          </w:p>
          <w:p w:rsidR="00491B97" w:rsidRPr="000D1D0D" w:rsidRDefault="00491B97" w:rsidP="000D1D0D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A162D2" w:rsidRPr="000D1D0D" w:rsidTr="00D525C0">
        <w:trPr>
          <w:trHeight w:val="628"/>
        </w:trPr>
        <w:tc>
          <w:tcPr>
            <w:tcW w:w="10206" w:type="dxa"/>
            <w:gridSpan w:val="3"/>
          </w:tcPr>
          <w:p w:rsidR="005B547D" w:rsidRPr="000D1D0D" w:rsidRDefault="005B547D" w:rsidP="000D1D0D">
            <w:pPr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0D1D0D">
              <w:rPr>
                <w:b/>
                <w:bCs/>
                <w:sz w:val="26"/>
                <w:szCs w:val="26"/>
                <w:lang w:val="ru-RU"/>
              </w:rPr>
              <w:t>Робота над магістерською дисертацією</w:t>
            </w:r>
          </w:p>
          <w:p w:rsidR="007E3190" w:rsidRPr="000D1D0D" w:rsidRDefault="00126DD8" w:rsidP="000D1D0D">
            <w:pPr>
              <w:jc w:val="both"/>
              <w:rPr>
                <w:b/>
                <w:sz w:val="26"/>
                <w:szCs w:val="26"/>
              </w:rPr>
            </w:pPr>
            <w:r w:rsidRPr="000D1D0D">
              <w:rPr>
                <w:b/>
                <w:sz w:val="26"/>
                <w:szCs w:val="26"/>
              </w:rPr>
              <w:t>Робоча програма навчальної дисципліни (Силабус)</w:t>
            </w:r>
          </w:p>
        </w:tc>
      </w:tr>
    </w:tbl>
    <w:p w:rsidR="00AA6B23" w:rsidRPr="000D1D0D" w:rsidRDefault="00AA6B23" w:rsidP="003C2684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76" w:lineRule="auto"/>
        <w:rPr>
          <w:rFonts w:ascii="Times New Roman" w:hAnsi="Times New Roman"/>
          <w:color w:val="auto"/>
          <w:sz w:val="26"/>
          <w:szCs w:val="26"/>
          <w:lang w:val="en-US"/>
        </w:rPr>
      </w:pPr>
      <w:r w:rsidRPr="000D1D0D">
        <w:rPr>
          <w:rFonts w:ascii="Times New Roman" w:hAnsi="Times New Roman"/>
          <w:color w:val="auto"/>
          <w:sz w:val="26"/>
          <w:szCs w:val="26"/>
        </w:rPr>
        <w:t>Реквізити навчальної дисципліни</w:t>
      </w:r>
    </w:p>
    <w:tbl>
      <w:tblPr>
        <w:tblStyle w:val="-211"/>
        <w:tblW w:w="10206" w:type="dxa"/>
        <w:tblInd w:w="108" w:type="dxa"/>
        <w:tblLook w:val="04A0"/>
      </w:tblPr>
      <w:tblGrid>
        <w:gridCol w:w="1721"/>
        <w:gridCol w:w="8591"/>
      </w:tblGrid>
      <w:tr w:rsidR="00A162D2" w:rsidRPr="000D1D0D" w:rsidTr="00D525C0">
        <w:trPr>
          <w:cnfStyle w:val="100000000000"/>
        </w:trPr>
        <w:tc>
          <w:tcPr>
            <w:cnfStyle w:val="001000000000"/>
            <w:tcW w:w="2694" w:type="dxa"/>
          </w:tcPr>
          <w:p w:rsidR="004A6336" w:rsidRPr="000D1D0D" w:rsidRDefault="004A6336" w:rsidP="000D1D0D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Рівень вищої освіти</w:t>
            </w:r>
          </w:p>
        </w:tc>
        <w:tc>
          <w:tcPr>
            <w:tcW w:w="7512" w:type="dxa"/>
          </w:tcPr>
          <w:p w:rsidR="004A6336" w:rsidRPr="000D1D0D" w:rsidRDefault="003C2684" w:rsidP="003C2684">
            <w:pPr>
              <w:spacing w:before="20" w:after="20"/>
              <w:cnfStyle w:val="10000000000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Другий </w:t>
            </w:r>
            <w:r w:rsidR="00663FC1" w:rsidRPr="000D1D0D">
              <w:rPr>
                <w:i/>
                <w:sz w:val="26"/>
                <w:szCs w:val="26"/>
              </w:rPr>
              <w:t xml:space="preserve">(магістерський) </w:t>
            </w:r>
            <w:r w:rsidR="007E3190" w:rsidRPr="000D1D0D">
              <w:rPr>
                <w:i/>
                <w:sz w:val="26"/>
                <w:szCs w:val="26"/>
              </w:rPr>
              <w:br/>
            </w:r>
          </w:p>
        </w:tc>
      </w:tr>
      <w:tr w:rsidR="00A162D2" w:rsidRPr="000D1D0D" w:rsidTr="00D525C0">
        <w:trPr>
          <w:cnfStyle w:val="000000100000"/>
        </w:trPr>
        <w:tc>
          <w:tcPr>
            <w:cnfStyle w:val="001000000000"/>
            <w:tcW w:w="2694" w:type="dxa"/>
          </w:tcPr>
          <w:p w:rsidR="00CC6E27" w:rsidRPr="000D1D0D" w:rsidRDefault="00CC6E27" w:rsidP="000D1D0D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Галузь знань</w:t>
            </w:r>
          </w:p>
        </w:tc>
        <w:tc>
          <w:tcPr>
            <w:tcW w:w="7512" w:type="dxa"/>
          </w:tcPr>
          <w:p w:rsidR="00CC6E27" w:rsidRPr="000D1D0D" w:rsidRDefault="00AD67D8" w:rsidP="000D1D0D">
            <w:pPr>
              <w:spacing w:before="20" w:after="20"/>
              <w:jc w:val="both"/>
              <w:cnfStyle w:val="000000100000"/>
              <w:rPr>
                <w:i/>
                <w:sz w:val="26"/>
                <w:szCs w:val="26"/>
              </w:rPr>
            </w:pPr>
            <w:r w:rsidRPr="000D1D0D">
              <w:rPr>
                <w:rFonts w:eastAsia="Times New Roman"/>
                <w:sz w:val="26"/>
                <w:szCs w:val="26"/>
                <w:lang w:eastAsia="ru-RU"/>
              </w:rPr>
              <w:t>16 Хімічна та біоінженерія</w:t>
            </w:r>
          </w:p>
        </w:tc>
      </w:tr>
      <w:tr w:rsidR="00A162D2" w:rsidRPr="000D1D0D" w:rsidTr="00D525C0">
        <w:tc>
          <w:tcPr>
            <w:cnfStyle w:val="001000000000"/>
            <w:tcW w:w="2694" w:type="dxa"/>
          </w:tcPr>
          <w:p w:rsidR="00CC6E27" w:rsidRPr="000D1D0D" w:rsidRDefault="00CC6E27" w:rsidP="000D1D0D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Спеціальність</w:t>
            </w:r>
          </w:p>
        </w:tc>
        <w:tc>
          <w:tcPr>
            <w:tcW w:w="7512" w:type="dxa"/>
          </w:tcPr>
          <w:p w:rsidR="00CC6E27" w:rsidRPr="000D1D0D" w:rsidRDefault="00AD67D8" w:rsidP="000D1D0D">
            <w:pPr>
              <w:spacing w:before="20" w:after="20"/>
              <w:jc w:val="both"/>
              <w:cnfStyle w:val="000000000000"/>
              <w:rPr>
                <w:sz w:val="26"/>
                <w:szCs w:val="26"/>
              </w:rPr>
            </w:pPr>
            <w:r w:rsidRPr="000D1D0D">
              <w:rPr>
                <w:rFonts w:eastAsia="Times New Roman"/>
                <w:sz w:val="26"/>
                <w:szCs w:val="26"/>
                <w:lang w:eastAsia="ru-RU"/>
              </w:rPr>
              <w:t>161 Хімічні технології та інженерія</w:t>
            </w:r>
          </w:p>
        </w:tc>
      </w:tr>
      <w:tr w:rsidR="00A162D2" w:rsidRPr="000D1D0D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0D1D0D" w:rsidRDefault="004A6336" w:rsidP="000D1D0D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Освітня програма</w:t>
            </w:r>
          </w:p>
        </w:tc>
        <w:tc>
          <w:tcPr>
            <w:tcW w:w="7512" w:type="dxa"/>
          </w:tcPr>
          <w:p w:rsidR="004A6336" w:rsidRPr="000D1D0D" w:rsidRDefault="00AD67D8" w:rsidP="000D1D0D">
            <w:pPr>
              <w:jc w:val="both"/>
              <w:cnfStyle w:val="000000100000"/>
              <w:rPr>
                <w:b/>
                <w:bCs/>
                <w:sz w:val="26"/>
                <w:szCs w:val="26"/>
                <w:lang w:val="ru-RU"/>
              </w:rPr>
            </w:pPr>
            <w:r w:rsidRPr="000D1D0D">
              <w:rPr>
                <w:b/>
                <w:bCs/>
                <w:sz w:val="26"/>
                <w:szCs w:val="26"/>
                <w:lang w:val="ru-RU"/>
              </w:rPr>
              <w:t>Хімія і технологія органічних матеріалів</w:t>
            </w:r>
          </w:p>
        </w:tc>
      </w:tr>
      <w:tr w:rsidR="00A162D2" w:rsidRPr="000D1D0D" w:rsidTr="00D525C0">
        <w:tc>
          <w:tcPr>
            <w:cnfStyle w:val="001000000000"/>
            <w:tcW w:w="2694" w:type="dxa"/>
          </w:tcPr>
          <w:p w:rsidR="004A6336" w:rsidRPr="000D1D0D" w:rsidRDefault="00AB05C9" w:rsidP="000D1D0D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 xml:space="preserve">Статус </w:t>
            </w:r>
            <w:r w:rsidR="003D35CF" w:rsidRPr="000D1D0D">
              <w:rPr>
                <w:sz w:val="26"/>
                <w:szCs w:val="26"/>
              </w:rPr>
              <w:t>дисципліни</w:t>
            </w:r>
          </w:p>
        </w:tc>
        <w:tc>
          <w:tcPr>
            <w:tcW w:w="7512" w:type="dxa"/>
          </w:tcPr>
          <w:p w:rsidR="004A6336" w:rsidRPr="000D1D0D" w:rsidRDefault="007E3190" w:rsidP="000D1D0D">
            <w:pPr>
              <w:spacing w:before="20" w:after="20"/>
              <w:jc w:val="both"/>
              <w:cnfStyle w:val="000000000000"/>
              <w:rPr>
                <w:i/>
                <w:sz w:val="26"/>
                <w:szCs w:val="26"/>
              </w:rPr>
            </w:pPr>
            <w:r w:rsidRPr="000D1D0D">
              <w:rPr>
                <w:i/>
                <w:sz w:val="26"/>
                <w:szCs w:val="26"/>
              </w:rPr>
              <w:t>Нормативн</w:t>
            </w:r>
            <w:r w:rsidR="007244E1" w:rsidRPr="000D1D0D">
              <w:rPr>
                <w:i/>
                <w:sz w:val="26"/>
                <w:szCs w:val="26"/>
              </w:rPr>
              <w:t>а</w:t>
            </w:r>
          </w:p>
        </w:tc>
      </w:tr>
      <w:tr w:rsidR="00A162D2" w:rsidRPr="000D1D0D" w:rsidTr="00D525C0">
        <w:trPr>
          <w:cnfStyle w:val="000000100000"/>
        </w:trPr>
        <w:tc>
          <w:tcPr>
            <w:cnfStyle w:val="001000000000"/>
            <w:tcW w:w="2694" w:type="dxa"/>
          </w:tcPr>
          <w:p w:rsidR="00894491" w:rsidRPr="000D1D0D" w:rsidRDefault="00894491" w:rsidP="000D1D0D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Форма навчання</w:t>
            </w:r>
          </w:p>
        </w:tc>
        <w:tc>
          <w:tcPr>
            <w:tcW w:w="7512" w:type="dxa"/>
          </w:tcPr>
          <w:p w:rsidR="00894491" w:rsidRPr="000D1D0D" w:rsidRDefault="000D1D0D" w:rsidP="000D1D0D">
            <w:pPr>
              <w:spacing w:before="20" w:after="20"/>
              <w:jc w:val="both"/>
              <w:cnfStyle w:val="000000100000"/>
              <w:rPr>
                <w:i/>
                <w:sz w:val="26"/>
                <w:szCs w:val="26"/>
              </w:rPr>
            </w:pPr>
            <w:r w:rsidRPr="000D1D0D">
              <w:rPr>
                <w:i/>
                <w:sz w:val="26"/>
                <w:szCs w:val="26"/>
              </w:rPr>
              <w:t>О</w:t>
            </w:r>
            <w:r w:rsidR="00894491" w:rsidRPr="000D1D0D">
              <w:rPr>
                <w:i/>
                <w:sz w:val="26"/>
                <w:szCs w:val="26"/>
              </w:rPr>
              <w:t>чна</w:t>
            </w:r>
            <w:r w:rsidRPr="000D1D0D">
              <w:rPr>
                <w:i/>
                <w:sz w:val="26"/>
                <w:szCs w:val="26"/>
              </w:rPr>
              <w:t xml:space="preserve"> </w:t>
            </w:r>
            <w:r w:rsidR="00894491" w:rsidRPr="000D1D0D">
              <w:rPr>
                <w:i/>
                <w:sz w:val="26"/>
                <w:szCs w:val="26"/>
              </w:rPr>
              <w:t>(денна)</w:t>
            </w:r>
          </w:p>
        </w:tc>
      </w:tr>
      <w:tr w:rsidR="00A162D2" w:rsidRPr="000D1D0D" w:rsidTr="00D525C0">
        <w:tc>
          <w:tcPr>
            <w:cnfStyle w:val="001000000000"/>
            <w:tcW w:w="2694" w:type="dxa"/>
          </w:tcPr>
          <w:p w:rsidR="007244E1" w:rsidRPr="000D1D0D" w:rsidRDefault="007244E1" w:rsidP="000D1D0D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Рік підготовки, семестр</w:t>
            </w:r>
          </w:p>
        </w:tc>
        <w:tc>
          <w:tcPr>
            <w:tcW w:w="7512" w:type="dxa"/>
          </w:tcPr>
          <w:p w:rsidR="007244E1" w:rsidRPr="000D1D0D" w:rsidRDefault="00B21CD5" w:rsidP="00B21CD5">
            <w:pPr>
              <w:spacing w:before="20" w:after="20"/>
              <w:jc w:val="both"/>
              <w:cnfStyle w:val="000000000000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7244E1" w:rsidRPr="000D1D0D">
              <w:rPr>
                <w:i/>
                <w:sz w:val="26"/>
                <w:szCs w:val="26"/>
              </w:rPr>
              <w:t xml:space="preserve"> курс, </w:t>
            </w:r>
            <w:r w:rsidR="009B57AC">
              <w:rPr>
                <w:i/>
                <w:sz w:val="26"/>
                <w:szCs w:val="26"/>
                <w:lang w:val="ru-RU"/>
              </w:rPr>
              <w:t>вес</w:t>
            </w:r>
            <w:r>
              <w:rPr>
                <w:i/>
                <w:sz w:val="26"/>
                <w:szCs w:val="26"/>
                <w:lang w:val="ru-RU"/>
              </w:rPr>
              <w:t>ня</w:t>
            </w:r>
            <w:r w:rsidR="009B57AC">
              <w:rPr>
                <w:i/>
                <w:sz w:val="26"/>
                <w:szCs w:val="26"/>
                <w:lang w:val="ru-RU"/>
              </w:rPr>
              <w:t>н</w:t>
            </w:r>
            <w:r>
              <w:rPr>
                <w:i/>
                <w:sz w:val="26"/>
                <w:szCs w:val="26"/>
                <w:lang w:val="ru-RU"/>
              </w:rPr>
              <w:t>и</w:t>
            </w:r>
            <w:r w:rsidR="009B57AC">
              <w:rPr>
                <w:i/>
                <w:sz w:val="26"/>
                <w:szCs w:val="26"/>
                <w:lang w:val="ru-RU"/>
              </w:rPr>
              <w:t>й</w:t>
            </w:r>
            <w:r w:rsidR="00126DD8" w:rsidRPr="000D1D0D">
              <w:rPr>
                <w:i/>
                <w:sz w:val="26"/>
                <w:szCs w:val="26"/>
              </w:rPr>
              <w:t xml:space="preserve"> семестр</w:t>
            </w:r>
          </w:p>
        </w:tc>
      </w:tr>
      <w:tr w:rsidR="00A162D2" w:rsidRPr="000D1D0D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0D1D0D" w:rsidRDefault="006F5C29" w:rsidP="000D1D0D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Обсяг дисципліни</w:t>
            </w:r>
          </w:p>
        </w:tc>
        <w:tc>
          <w:tcPr>
            <w:tcW w:w="7512" w:type="dxa"/>
          </w:tcPr>
          <w:p w:rsidR="004A6336" w:rsidRPr="000D1D0D" w:rsidRDefault="00B21CD5" w:rsidP="000D1D0D">
            <w:pPr>
              <w:jc w:val="both"/>
              <w:cnfStyle w:val="00000010000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  <w:r w:rsidR="00126DD8" w:rsidRPr="000D1D0D">
              <w:rPr>
                <w:bCs/>
                <w:sz w:val="26"/>
                <w:szCs w:val="26"/>
              </w:rPr>
              <w:t xml:space="preserve"> кредит</w:t>
            </w:r>
            <w:r w:rsidR="00126DD8" w:rsidRPr="000D1D0D">
              <w:rPr>
                <w:bCs/>
                <w:sz w:val="26"/>
                <w:szCs w:val="26"/>
                <w:lang w:val="en-US"/>
              </w:rPr>
              <w:t>и</w:t>
            </w:r>
            <w:r w:rsidR="00126DD8" w:rsidRPr="000D1D0D">
              <w:rPr>
                <w:bCs/>
                <w:sz w:val="26"/>
                <w:szCs w:val="26"/>
              </w:rPr>
              <w:t xml:space="preserve"> ЄКТС</w:t>
            </w:r>
            <w:r w:rsidR="00126DD8" w:rsidRPr="000D1D0D">
              <w:rPr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A162D2" w:rsidRPr="000D1D0D" w:rsidTr="00D525C0">
        <w:tc>
          <w:tcPr>
            <w:cnfStyle w:val="001000000000"/>
            <w:tcW w:w="2694" w:type="dxa"/>
          </w:tcPr>
          <w:p w:rsidR="007244E1" w:rsidRPr="000D1D0D" w:rsidRDefault="007244E1" w:rsidP="000D1D0D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:rsidR="007244E1" w:rsidRPr="000D1D0D" w:rsidRDefault="002E5405" w:rsidP="000D1D0D">
            <w:pPr>
              <w:spacing w:before="20" w:after="20"/>
              <w:jc w:val="both"/>
              <w:cnfStyle w:val="000000000000"/>
              <w:rPr>
                <w:i/>
                <w:sz w:val="26"/>
                <w:szCs w:val="26"/>
              </w:rPr>
            </w:pPr>
            <w:r w:rsidRPr="000D1D0D">
              <w:rPr>
                <w:i/>
                <w:sz w:val="26"/>
                <w:szCs w:val="26"/>
                <w:lang w:val="ru-RU"/>
              </w:rPr>
              <w:t>З</w:t>
            </w:r>
            <w:r w:rsidR="005B547D" w:rsidRPr="000D1D0D">
              <w:rPr>
                <w:i/>
                <w:sz w:val="26"/>
                <w:szCs w:val="26"/>
                <w:lang w:val="ru-RU"/>
              </w:rPr>
              <w:t>ахист диссертац</w:t>
            </w:r>
            <w:r w:rsidR="005B547D" w:rsidRPr="000D1D0D">
              <w:rPr>
                <w:i/>
                <w:sz w:val="26"/>
                <w:szCs w:val="26"/>
              </w:rPr>
              <w:t>ії</w:t>
            </w:r>
          </w:p>
        </w:tc>
      </w:tr>
      <w:tr w:rsidR="00A162D2" w:rsidRPr="000D1D0D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0D1D0D" w:rsidRDefault="004A6336" w:rsidP="000D1D0D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Розклад занять</w:t>
            </w:r>
          </w:p>
        </w:tc>
        <w:tc>
          <w:tcPr>
            <w:tcW w:w="7512" w:type="dxa"/>
          </w:tcPr>
          <w:p w:rsidR="004A6336" w:rsidRPr="000D1D0D" w:rsidRDefault="00126DD8" w:rsidP="00B21CD5">
            <w:pPr>
              <w:spacing w:before="20" w:after="20"/>
              <w:jc w:val="both"/>
              <w:cnfStyle w:val="000000100000"/>
              <w:rPr>
                <w:i/>
                <w:sz w:val="26"/>
                <w:szCs w:val="26"/>
                <w:lang w:val="en-US"/>
              </w:rPr>
            </w:pPr>
            <w:r w:rsidRPr="000D1D0D">
              <w:rPr>
                <w:sz w:val="26"/>
                <w:szCs w:val="26"/>
              </w:rPr>
              <w:t xml:space="preserve">Самостійна робота </w:t>
            </w:r>
            <w:bookmarkStart w:id="0" w:name="_GoBack"/>
            <w:bookmarkEnd w:id="0"/>
            <w:r w:rsidR="00B21CD5">
              <w:rPr>
                <w:sz w:val="26"/>
                <w:szCs w:val="26"/>
              </w:rPr>
              <w:t>630</w:t>
            </w:r>
            <w:r w:rsidRPr="000D1D0D">
              <w:rPr>
                <w:sz w:val="26"/>
                <w:szCs w:val="26"/>
              </w:rPr>
              <w:t xml:space="preserve"> год.</w:t>
            </w:r>
          </w:p>
        </w:tc>
      </w:tr>
      <w:tr w:rsidR="00A162D2" w:rsidRPr="000D1D0D" w:rsidTr="00D525C0">
        <w:tc>
          <w:tcPr>
            <w:cnfStyle w:val="001000000000"/>
            <w:tcW w:w="2694" w:type="dxa"/>
          </w:tcPr>
          <w:p w:rsidR="004A6336" w:rsidRPr="000D1D0D" w:rsidRDefault="004A6336" w:rsidP="000D1D0D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Мова викладання</w:t>
            </w:r>
          </w:p>
        </w:tc>
        <w:tc>
          <w:tcPr>
            <w:tcW w:w="7512" w:type="dxa"/>
          </w:tcPr>
          <w:p w:rsidR="004A6336" w:rsidRPr="000D1D0D" w:rsidRDefault="00306C33" w:rsidP="000D1D0D">
            <w:pPr>
              <w:spacing w:before="20" w:after="20"/>
              <w:jc w:val="both"/>
              <w:cnfStyle w:val="000000000000"/>
              <w:rPr>
                <w:i/>
                <w:sz w:val="26"/>
                <w:szCs w:val="26"/>
                <w:lang w:val="ru-RU"/>
              </w:rPr>
            </w:pPr>
            <w:r w:rsidRPr="000D1D0D">
              <w:rPr>
                <w:i/>
                <w:sz w:val="26"/>
                <w:szCs w:val="26"/>
              </w:rPr>
              <w:t>Українська/</w:t>
            </w:r>
            <w:r w:rsidR="004A6336" w:rsidRPr="000D1D0D">
              <w:rPr>
                <w:i/>
                <w:sz w:val="26"/>
                <w:szCs w:val="26"/>
              </w:rPr>
              <w:t>Англійська</w:t>
            </w:r>
          </w:p>
        </w:tc>
      </w:tr>
      <w:tr w:rsidR="00A162D2" w:rsidRPr="000D1D0D" w:rsidTr="00D525C0">
        <w:trPr>
          <w:cnfStyle w:val="000000100000"/>
        </w:trPr>
        <w:tc>
          <w:tcPr>
            <w:cnfStyle w:val="001000000000"/>
            <w:tcW w:w="2694" w:type="dxa"/>
          </w:tcPr>
          <w:p w:rsidR="004A6336" w:rsidRPr="000D1D0D" w:rsidRDefault="006F5C29" w:rsidP="000D1D0D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 xml:space="preserve">Інформація про </w:t>
            </w:r>
            <w:r w:rsidRPr="000D1D0D">
              <w:rPr>
                <w:sz w:val="26"/>
                <w:szCs w:val="26"/>
              </w:rPr>
              <w:br/>
            </w:r>
            <w:r w:rsidRPr="000D1D0D">
              <w:rPr>
                <w:sz w:val="26"/>
                <w:szCs w:val="26"/>
                <w:lang w:val="ru-RU"/>
              </w:rPr>
              <w:t>к</w:t>
            </w:r>
            <w:r w:rsidR="00D82DA7" w:rsidRPr="000D1D0D">
              <w:rPr>
                <w:sz w:val="26"/>
                <w:szCs w:val="26"/>
              </w:rPr>
              <w:t>ерівник</w:t>
            </w:r>
            <w:r w:rsidRPr="000D1D0D">
              <w:rPr>
                <w:sz w:val="26"/>
                <w:szCs w:val="26"/>
              </w:rPr>
              <w:t>а</w:t>
            </w:r>
            <w:r w:rsidR="00D82DA7" w:rsidRPr="000D1D0D">
              <w:rPr>
                <w:sz w:val="26"/>
                <w:szCs w:val="26"/>
              </w:rPr>
              <w:t xml:space="preserve"> курсу / викладачі</w:t>
            </w:r>
            <w:r w:rsidR="007244E1" w:rsidRPr="000D1D0D">
              <w:rPr>
                <w:sz w:val="26"/>
                <w:szCs w:val="26"/>
              </w:rPr>
              <w:t>в</w:t>
            </w:r>
          </w:p>
        </w:tc>
        <w:tc>
          <w:tcPr>
            <w:tcW w:w="7512" w:type="dxa"/>
          </w:tcPr>
          <w:p w:rsidR="00162029" w:rsidRPr="003C2684" w:rsidRDefault="005B547D" w:rsidP="000D1D0D">
            <w:pPr>
              <w:jc w:val="both"/>
              <w:cnfStyle w:val="000000100000"/>
              <w:rPr>
                <w:rFonts w:eastAsia="Times New Roman"/>
                <w:sz w:val="26"/>
                <w:szCs w:val="26"/>
                <w:lang w:eastAsia="ru-RU"/>
              </w:rPr>
            </w:pPr>
            <w:r w:rsidRPr="00B21CD5">
              <w:rPr>
                <w:sz w:val="26"/>
                <w:szCs w:val="26"/>
              </w:rPr>
              <w:t>Відповідальн</w:t>
            </w:r>
            <w:r w:rsidR="003C2684" w:rsidRPr="00B21CD5">
              <w:rPr>
                <w:sz w:val="26"/>
                <w:szCs w:val="26"/>
              </w:rPr>
              <w:t>і</w:t>
            </w:r>
            <w:r w:rsidR="00162029" w:rsidRPr="000D1D0D">
              <w:rPr>
                <w:sz w:val="26"/>
                <w:szCs w:val="26"/>
              </w:rPr>
              <w:t xml:space="preserve">: </w:t>
            </w:r>
            <w:r w:rsidR="00162029" w:rsidRPr="000D1D0D">
              <w:rPr>
                <w:rFonts w:eastAsia="Times New Roman"/>
                <w:sz w:val="26"/>
                <w:szCs w:val="26"/>
                <w:lang w:eastAsia="ru-RU"/>
              </w:rPr>
              <w:t>Проф. каф. ОХ та ТОР, доктор хімічних наук, п</w:t>
            </w:r>
            <w:r w:rsidR="005E4337" w:rsidRPr="000D1D0D">
              <w:rPr>
                <w:rFonts w:eastAsia="Times New Roman"/>
                <w:sz w:val="26"/>
                <w:szCs w:val="26"/>
                <w:lang w:eastAsia="ru-RU"/>
              </w:rPr>
              <w:t>рофесор, Фокін Андрій Артурович</w:t>
            </w:r>
            <w:r w:rsidR="00162029" w:rsidRPr="00B21CD5"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hyperlink r:id="rId12" w:history="1">
              <w:r w:rsidR="003C2684" w:rsidRPr="00076B21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aaf</w:t>
              </w:r>
              <w:r w:rsidR="003C2684" w:rsidRPr="00B21CD5">
                <w:rPr>
                  <w:rStyle w:val="a5"/>
                  <w:rFonts w:eastAsia="Times New Roman"/>
                  <w:sz w:val="26"/>
                  <w:szCs w:val="26"/>
                  <w:lang w:eastAsia="ru-RU"/>
                </w:rPr>
                <w:t>@</w:t>
              </w:r>
              <w:r w:rsidR="003C2684" w:rsidRPr="00076B21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xtf</w:t>
              </w:r>
              <w:r w:rsidR="003C2684" w:rsidRPr="00B21CD5">
                <w:rPr>
                  <w:rStyle w:val="a5"/>
                  <w:rFonts w:eastAsia="Times New Roman"/>
                  <w:sz w:val="26"/>
                  <w:szCs w:val="26"/>
                  <w:lang w:eastAsia="ru-RU"/>
                </w:rPr>
                <w:t>.</w:t>
              </w:r>
              <w:r w:rsidR="003C2684" w:rsidRPr="00076B21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kpi</w:t>
              </w:r>
              <w:r w:rsidR="003C2684" w:rsidRPr="00B21CD5">
                <w:rPr>
                  <w:rStyle w:val="a5"/>
                  <w:rFonts w:eastAsia="Times New Roman"/>
                  <w:sz w:val="26"/>
                  <w:szCs w:val="26"/>
                  <w:lang w:eastAsia="ru-RU"/>
                </w:rPr>
                <w:t>.</w:t>
              </w:r>
              <w:r w:rsidR="003C2684" w:rsidRPr="00076B21">
                <w:rPr>
                  <w:rStyle w:val="a5"/>
                  <w:rFonts w:eastAsia="Times New Roman"/>
                  <w:sz w:val="26"/>
                  <w:szCs w:val="26"/>
                  <w:lang w:val="en-US" w:eastAsia="ru-RU"/>
                </w:rPr>
                <w:t>ua</w:t>
              </w:r>
            </w:hyperlink>
            <w:r w:rsidR="003C2684">
              <w:rPr>
                <w:rFonts w:eastAsia="Times New Roman"/>
                <w:sz w:val="26"/>
                <w:szCs w:val="26"/>
                <w:lang w:eastAsia="ru-RU"/>
              </w:rPr>
              <w:t>, керівники дипломних проєктів</w:t>
            </w:r>
          </w:p>
          <w:p w:rsidR="004A6336" w:rsidRPr="000D1D0D" w:rsidRDefault="004A6336" w:rsidP="000D1D0D">
            <w:pPr>
              <w:spacing w:before="20" w:after="20"/>
              <w:jc w:val="both"/>
              <w:cnfStyle w:val="000000100000"/>
              <w:rPr>
                <w:sz w:val="26"/>
                <w:szCs w:val="26"/>
              </w:rPr>
            </w:pPr>
          </w:p>
        </w:tc>
      </w:tr>
      <w:tr w:rsidR="00A162D2" w:rsidRPr="000D1D0D" w:rsidTr="00D525C0">
        <w:tc>
          <w:tcPr>
            <w:cnfStyle w:val="001000000000"/>
            <w:tcW w:w="2694" w:type="dxa"/>
          </w:tcPr>
          <w:p w:rsidR="007E3190" w:rsidRPr="000D1D0D" w:rsidRDefault="006F5C29" w:rsidP="000D1D0D">
            <w:pPr>
              <w:spacing w:before="20" w:after="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Розміщення курсу</w:t>
            </w:r>
          </w:p>
        </w:tc>
        <w:tc>
          <w:tcPr>
            <w:tcW w:w="7512" w:type="dxa"/>
          </w:tcPr>
          <w:p w:rsidR="007E3190" w:rsidRPr="000D1D0D" w:rsidRDefault="00536E9C" w:rsidP="003C2684">
            <w:pPr>
              <w:spacing w:before="20" w:after="20"/>
              <w:cnfStyle w:val="000000000000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https://campus.kpi.ua/tutor/index.php?mode=mob&amp;create&amp;filter=&amp;sd=10166&amp;cm=27066</w:t>
            </w:r>
          </w:p>
        </w:tc>
      </w:tr>
    </w:tbl>
    <w:p w:rsidR="004A6336" w:rsidRPr="000D1D0D" w:rsidRDefault="00AA6B23" w:rsidP="000D1D0D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/>
          <w:color w:val="auto"/>
          <w:sz w:val="26"/>
          <w:szCs w:val="26"/>
          <w:lang w:val="ru-RU"/>
        </w:rPr>
      </w:pPr>
      <w:r w:rsidRPr="000D1D0D">
        <w:rPr>
          <w:rFonts w:ascii="Times New Roman" w:hAnsi="Times New Roman"/>
          <w:color w:val="auto"/>
          <w:sz w:val="26"/>
          <w:szCs w:val="26"/>
        </w:rPr>
        <w:lastRenderedPageBreak/>
        <w:t>Програма навчальної дисципліни</w:t>
      </w:r>
    </w:p>
    <w:p w:rsidR="004A6336" w:rsidRPr="000D1D0D" w:rsidRDefault="004D1575" w:rsidP="000D1D0D">
      <w:pPr>
        <w:pStyle w:val="1"/>
        <w:spacing w:line="276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D1D0D">
        <w:rPr>
          <w:rFonts w:ascii="Times New Roman" w:hAnsi="Times New Roman"/>
          <w:color w:val="auto"/>
          <w:sz w:val="26"/>
          <w:szCs w:val="26"/>
        </w:rPr>
        <w:t>Опис</w:t>
      </w:r>
      <w:r w:rsidR="004A6336" w:rsidRPr="000D1D0D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A6B23" w:rsidRPr="000D1D0D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0D1D0D">
        <w:rPr>
          <w:rFonts w:ascii="Times New Roman" w:hAnsi="Times New Roman"/>
          <w:color w:val="auto"/>
          <w:sz w:val="26"/>
          <w:szCs w:val="26"/>
        </w:rPr>
        <w:t>дисципліни</w:t>
      </w:r>
      <w:r w:rsidR="006F5C29" w:rsidRPr="000D1D0D">
        <w:rPr>
          <w:rFonts w:ascii="Times New Roman" w:hAnsi="Times New Roman"/>
          <w:color w:val="auto"/>
          <w:sz w:val="26"/>
          <w:szCs w:val="26"/>
        </w:rPr>
        <w:t>, її мета, предмет вивчання та результати навчання</w:t>
      </w:r>
    </w:p>
    <w:p w:rsidR="005B547D" w:rsidRPr="000D1D0D" w:rsidRDefault="005B547D" w:rsidP="000D1D0D">
      <w:pPr>
        <w:spacing w:before="120"/>
        <w:ind w:firstLine="567"/>
        <w:jc w:val="both"/>
        <w:rPr>
          <w:bCs/>
          <w:sz w:val="26"/>
          <w:szCs w:val="26"/>
          <w:lang w:val="ru-RU"/>
        </w:rPr>
      </w:pPr>
      <w:r w:rsidRPr="000D1D0D">
        <w:rPr>
          <w:b/>
          <w:sz w:val="26"/>
          <w:szCs w:val="26"/>
        </w:rPr>
        <w:t>«</w:t>
      </w:r>
      <w:r w:rsidRPr="000D1D0D">
        <w:rPr>
          <w:bCs/>
          <w:sz w:val="26"/>
          <w:szCs w:val="26"/>
        </w:rPr>
        <w:t>Наукова робота за</w:t>
      </w:r>
      <w:r w:rsidR="000D1D0D">
        <w:rPr>
          <w:bCs/>
          <w:sz w:val="26"/>
          <w:szCs w:val="26"/>
        </w:rPr>
        <w:t xml:space="preserve"> темою магістерської дисертації</w:t>
      </w:r>
      <w:r w:rsidRPr="000D1D0D">
        <w:rPr>
          <w:sz w:val="26"/>
          <w:szCs w:val="26"/>
        </w:rPr>
        <w:t>» складено відповідно до освітньо-професійної програми підготовки спеціалістів за спеціальністю 161 Хімічні технології та інженерія спеціалізації "Хімічні технології органічних речовин", за денною формою навчання. Навчальна дисципліна належить до циклу професійної підготовки</w:t>
      </w:r>
      <w:r w:rsidR="000D1D0D">
        <w:rPr>
          <w:sz w:val="26"/>
          <w:szCs w:val="26"/>
          <w:lang w:val="ru-RU"/>
        </w:rPr>
        <w:t xml:space="preserve">  як д</w:t>
      </w:r>
      <w:r w:rsidR="000D1D0D" w:rsidRPr="000D1D0D">
        <w:rPr>
          <w:sz w:val="26"/>
          <w:szCs w:val="26"/>
        </w:rPr>
        <w:t>ослідницький (науковий) компонент</w:t>
      </w:r>
      <w:r w:rsidR="000D1D0D">
        <w:rPr>
          <w:sz w:val="26"/>
          <w:szCs w:val="26"/>
          <w:lang w:val="ru-RU"/>
        </w:rPr>
        <w:t>.</w:t>
      </w:r>
    </w:p>
    <w:p w:rsidR="005B547D" w:rsidRPr="000D1D0D" w:rsidRDefault="005B547D" w:rsidP="000D1D0D">
      <w:pPr>
        <w:spacing w:before="120"/>
        <w:ind w:firstLine="567"/>
        <w:jc w:val="both"/>
        <w:rPr>
          <w:bCs/>
          <w:sz w:val="26"/>
          <w:szCs w:val="26"/>
        </w:rPr>
      </w:pPr>
      <w:r w:rsidRPr="000D1D0D">
        <w:rPr>
          <w:bCs/>
          <w:sz w:val="26"/>
          <w:szCs w:val="26"/>
        </w:rPr>
        <w:t xml:space="preserve">Предметом навчальної дисципліни є </w:t>
      </w:r>
      <w:r w:rsidR="000D1D0D" w:rsidRPr="000D1D0D">
        <w:rPr>
          <w:bCs/>
          <w:sz w:val="26"/>
          <w:szCs w:val="26"/>
        </w:rPr>
        <w:t>застосування</w:t>
      </w:r>
      <w:r w:rsidRPr="000D1D0D">
        <w:rPr>
          <w:bCs/>
          <w:sz w:val="26"/>
          <w:szCs w:val="26"/>
        </w:rPr>
        <w:t xml:space="preserve"> практичних методів експериментальної органічної хімії, роботи з хімічною літературою, ведення лабораторніх журналів, написання та оформлення наукових статей і технічної документації. </w:t>
      </w:r>
    </w:p>
    <w:p w:rsidR="005B547D" w:rsidRPr="000D1D0D" w:rsidRDefault="005B547D" w:rsidP="000D1D0D">
      <w:pPr>
        <w:spacing w:before="120"/>
        <w:ind w:firstLine="567"/>
        <w:jc w:val="both"/>
        <w:rPr>
          <w:sz w:val="26"/>
          <w:szCs w:val="26"/>
        </w:rPr>
      </w:pPr>
      <w:r w:rsidRPr="000D1D0D">
        <w:rPr>
          <w:sz w:val="26"/>
          <w:szCs w:val="26"/>
        </w:rPr>
        <w:t>Метою кредитного модуля є формування у студентів здатностей:</w:t>
      </w:r>
    </w:p>
    <w:p w:rsidR="005B547D" w:rsidRPr="000D1D0D" w:rsidRDefault="005B547D" w:rsidP="000D1D0D">
      <w:pPr>
        <w:numPr>
          <w:ilvl w:val="0"/>
          <w:numId w:val="14"/>
        </w:numPr>
        <w:spacing w:before="120"/>
        <w:jc w:val="both"/>
        <w:rPr>
          <w:sz w:val="26"/>
          <w:szCs w:val="26"/>
        </w:rPr>
      </w:pPr>
      <w:r w:rsidRPr="000D1D0D">
        <w:rPr>
          <w:sz w:val="26"/>
          <w:szCs w:val="26"/>
        </w:rPr>
        <w:t>здатність використовувати теоретичні знання й практичні навички природничо-наукових та професійно орієнтованих навчальних дисциплін для оволодіння основами організації та методології наукових досліджень хіміко-технологічних систем (КСП – 4);</w:t>
      </w:r>
    </w:p>
    <w:p w:rsidR="005B547D" w:rsidRPr="000D1D0D" w:rsidRDefault="005B547D" w:rsidP="000D1D0D">
      <w:pPr>
        <w:numPr>
          <w:ilvl w:val="0"/>
          <w:numId w:val="14"/>
        </w:numPr>
        <w:spacing w:before="120"/>
        <w:jc w:val="both"/>
        <w:rPr>
          <w:sz w:val="26"/>
          <w:szCs w:val="26"/>
        </w:rPr>
      </w:pPr>
      <w:r w:rsidRPr="000D1D0D">
        <w:rPr>
          <w:sz w:val="26"/>
          <w:szCs w:val="26"/>
        </w:rPr>
        <w:t>здатність використовувати професійно профільовані знання й практичні навички в галузі основ хімічної технології органічних сполук для оцінювання техніко-економічних показників хімічних та хіміко-технологічних процесів (КСП -5);</w:t>
      </w:r>
    </w:p>
    <w:p w:rsidR="005B547D" w:rsidRPr="000D1D0D" w:rsidRDefault="005B547D" w:rsidP="000D1D0D">
      <w:pPr>
        <w:numPr>
          <w:ilvl w:val="0"/>
          <w:numId w:val="14"/>
        </w:numPr>
        <w:spacing w:before="120"/>
        <w:jc w:val="both"/>
        <w:rPr>
          <w:sz w:val="26"/>
          <w:szCs w:val="26"/>
        </w:rPr>
      </w:pPr>
      <w:r w:rsidRPr="000D1D0D">
        <w:rPr>
          <w:sz w:val="26"/>
          <w:szCs w:val="26"/>
        </w:rPr>
        <w:t>здатність використовувати знання, уміння й навички в галузі природничо-наукових дисциплін для теоретичного освоєння професійних дисциплін і вирішення практичних завдань з хімічної технології органічних речовин (КСП -10).</w:t>
      </w:r>
    </w:p>
    <w:p w:rsidR="005B547D" w:rsidRPr="00337EE8" w:rsidRDefault="005B547D" w:rsidP="000D1D0D">
      <w:pPr>
        <w:spacing w:before="120"/>
        <w:ind w:firstLine="567"/>
        <w:jc w:val="both"/>
        <w:rPr>
          <w:b/>
          <w:sz w:val="26"/>
          <w:szCs w:val="26"/>
        </w:rPr>
      </w:pPr>
      <w:r w:rsidRPr="00337EE8">
        <w:rPr>
          <w:b/>
          <w:sz w:val="26"/>
          <w:szCs w:val="26"/>
        </w:rPr>
        <w:t>Основні завдання кредитного модуля.</w:t>
      </w:r>
    </w:p>
    <w:p w:rsidR="005B547D" w:rsidRPr="000D1D0D" w:rsidRDefault="005B547D" w:rsidP="000D1D0D">
      <w:pPr>
        <w:spacing w:before="120"/>
        <w:ind w:firstLine="567"/>
        <w:jc w:val="both"/>
        <w:rPr>
          <w:sz w:val="26"/>
          <w:szCs w:val="26"/>
        </w:rPr>
      </w:pPr>
      <w:r w:rsidRPr="000D1D0D">
        <w:rPr>
          <w:sz w:val="26"/>
          <w:szCs w:val="26"/>
        </w:rPr>
        <w:t>Згідно з вимогами програми навчальної дисципліни студенти після засвоєння дисципліни мають продемонструвати такі результати навчання:</w:t>
      </w:r>
    </w:p>
    <w:p w:rsidR="005B547D" w:rsidRPr="000D1D0D" w:rsidRDefault="000D1D0D" w:rsidP="000D1D0D">
      <w:pPr>
        <w:keepNext/>
        <w:jc w:val="both"/>
        <w:rPr>
          <w:rFonts w:eastAsia="Times New Roman"/>
          <w:b/>
          <w:sz w:val="26"/>
          <w:szCs w:val="26"/>
          <w:lang w:eastAsia="ru-RU"/>
        </w:rPr>
      </w:pPr>
      <w:r w:rsidRPr="000D1D0D">
        <w:rPr>
          <w:rFonts w:eastAsia="Times New Roman"/>
          <w:sz w:val="26"/>
          <w:szCs w:val="26"/>
          <w:lang w:eastAsia="ru-RU"/>
        </w:rPr>
        <w:tab/>
      </w:r>
      <w:r w:rsidR="005B547D" w:rsidRPr="000D1D0D">
        <w:rPr>
          <w:rFonts w:eastAsia="Times New Roman"/>
          <w:b/>
          <w:sz w:val="26"/>
          <w:szCs w:val="26"/>
          <w:lang w:eastAsia="ru-RU"/>
        </w:rPr>
        <w:t>знання:</w:t>
      </w:r>
    </w:p>
    <w:p w:rsidR="005B547D" w:rsidRPr="000D1D0D" w:rsidRDefault="005B547D" w:rsidP="000D1D0D">
      <w:pPr>
        <w:keepNext/>
        <w:jc w:val="both"/>
        <w:rPr>
          <w:rFonts w:eastAsia="Times New Roman"/>
          <w:sz w:val="26"/>
          <w:szCs w:val="26"/>
          <w:lang w:eastAsia="ru-RU"/>
        </w:rPr>
      </w:pPr>
      <w:r w:rsidRPr="000D1D0D">
        <w:rPr>
          <w:rFonts w:eastAsia="Times New Roman"/>
          <w:sz w:val="26"/>
          <w:szCs w:val="26"/>
          <w:lang w:eastAsia="ru-RU"/>
        </w:rPr>
        <w:t>- загальні знання про процес рецензування та сучасні наукові видання;</w:t>
      </w:r>
    </w:p>
    <w:p w:rsidR="005B547D" w:rsidRPr="000D1D0D" w:rsidRDefault="005B547D" w:rsidP="000D1D0D">
      <w:pPr>
        <w:keepNext/>
        <w:jc w:val="both"/>
        <w:rPr>
          <w:rFonts w:eastAsia="Times New Roman"/>
          <w:sz w:val="26"/>
          <w:szCs w:val="26"/>
          <w:lang w:eastAsia="ru-RU"/>
        </w:rPr>
      </w:pPr>
      <w:r w:rsidRPr="000D1D0D">
        <w:rPr>
          <w:rFonts w:eastAsia="Times New Roman"/>
          <w:sz w:val="26"/>
          <w:szCs w:val="26"/>
          <w:lang w:eastAsia="ru-RU"/>
        </w:rPr>
        <w:t>- основні принципи наукового письма та підготовки рукопису;</w:t>
      </w:r>
    </w:p>
    <w:p w:rsidR="005B547D" w:rsidRPr="000D1D0D" w:rsidRDefault="005B547D" w:rsidP="000D1D0D">
      <w:pPr>
        <w:keepNext/>
        <w:jc w:val="both"/>
        <w:rPr>
          <w:rFonts w:eastAsia="Times New Roman"/>
          <w:sz w:val="26"/>
          <w:szCs w:val="26"/>
          <w:lang w:eastAsia="ru-RU"/>
        </w:rPr>
      </w:pPr>
      <w:r w:rsidRPr="000D1D0D">
        <w:rPr>
          <w:rFonts w:eastAsia="Times New Roman"/>
          <w:sz w:val="26"/>
          <w:szCs w:val="26"/>
          <w:lang w:eastAsia="ru-RU"/>
        </w:rPr>
        <w:t>- загальні принципи написання та подання заявок на грант;</w:t>
      </w:r>
    </w:p>
    <w:p w:rsidR="000D1D0D" w:rsidRPr="000D1D0D" w:rsidRDefault="005B547D" w:rsidP="000D1D0D">
      <w:pPr>
        <w:keepNext/>
        <w:jc w:val="both"/>
        <w:rPr>
          <w:rFonts w:eastAsia="Times New Roman"/>
          <w:sz w:val="26"/>
          <w:szCs w:val="26"/>
          <w:lang w:eastAsia="ru-RU"/>
        </w:rPr>
      </w:pPr>
      <w:r w:rsidRPr="000D1D0D">
        <w:rPr>
          <w:rFonts w:eastAsia="Times New Roman"/>
          <w:sz w:val="26"/>
          <w:szCs w:val="26"/>
          <w:lang w:eastAsia="ru-RU"/>
        </w:rPr>
        <w:t>- підготовка та подання наукового звіту;</w:t>
      </w:r>
    </w:p>
    <w:p w:rsidR="005B547D" w:rsidRPr="000D1D0D" w:rsidRDefault="000D1D0D" w:rsidP="000D1D0D">
      <w:pPr>
        <w:keepNext/>
        <w:jc w:val="both"/>
        <w:rPr>
          <w:rFonts w:eastAsia="Times New Roman"/>
          <w:b/>
          <w:sz w:val="26"/>
          <w:szCs w:val="26"/>
          <w:lang w:eastAsia="ru-RU"/>
        </w:rPr>
      </w:pPr>
      <w:r w:rsidRPr="000D1D0D">
        <w:rPr>
          <w:rFonts w:eastAsia="Times New Roman"/>
          <w:b/>
          <w:sz w:val="26"/>
          <w:szCs w:val="26"/>
          <w:lang w:eastAsia="ru-RU"/>
        </w:rPr>
        <w:tab/>
      </w:r>
      <w:r w:rsidR="005B547D" w:rsidRPr="000D1D0D">
        <w:rPr>
          <w:rFonts w:eastAsia="Times New Roman"/>
          <w:b/>
          <w:sz w:val="26"/>
          <w:szCs w:val="26"/>
          <w:lang w:eastAsia="ru-RU"/>
        </w:rPr>
        <w:t>уміння:</w:t>
      </w:r>
    </w:p>
    <w:p w:rsidR="005B547D" w:rsidRPr="000D1D0D" w:rsidRDefault="005B547D" w:rsidP="000D1D0D">
      <w:pPr>
        <w:pStyle w:val="12"/>
        <w:numPr>
          <w:ilvl w:val="0"/>
          <w:numId w:val="15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</w:pPr>
      <w:r w:rsidRPr="000D1D0D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>Використовуючи наукові знання синтезу органiчних речовин, в умовах лабораторії або виробництва, для визначення даних до технічного завдання вмiти сформулювати мету виконання дослідження (створення нового об’єкту, напрямок вдосконалення існуючого, визначення або прогнозування ключових параметрів і властивостей системи та ін.);</w:t>
      </w:r>
    </w:p>
    <w:p w:rsidR="005B547D" w:rsidRPr="000D1D0D" w:rsidRDefault="005B547D" w:rsidP="000D1D0D">
      <w:pPr>
        <w:pStyle w:val="12"/>
        <w:numPr>
          <w:ilvl w:val="0"/>
          <w:numId w:val="15"/>
        </w:numPr>
        <w:spacing w:before="120" w:after="0"/>
        <w:ind w:left="360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0D1D0D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t xml:space="preserve">Використовуючи наукові положення хімічних і інженерно-хімічних наук, інформатики, математики, методи досліджень процесів органічного синтезу, комп’ютерного моделювання, в умовах лабораторії або виробництва, - розробити програму виконання досліджень технологічного об’єкта (сформулювати адекватну фізичну модель, розробити схему компоновки експериментального обладнання та приладів, визначити </w:t>
      </w:r>
      <w:r w:rsidRPr="000D1D0D">
        <w:rPr>
          <w:rFonts w:ascii="Times New Roman" w:eastAsia="Times New Roman" w:hAnsi="Times New Roman"/>
          <w:snapToGrid w:val="0"/>
          <w:sz w:val="26"/>
          <w:szCs w:val="26"/>
          <w:lang w:val="uk-UA" w:eastAsia="ru-RU"/>
        </w:rPr>
        <w:lastRenderedPageBreak/>
        <w:t>групу інформаційних параметрів, способи і послідовність їх визначення та аналізу) з метою одержання даних для складання ТЕО;</w:t>
      </w:r>
    </w:p>
    <w:p w:rsidR="005B547D" w:rsidRPr="000D1D0D" w:rsidRDefault="005B547D" w:rsidP="000D1D0D">
      <w:pPr>
        <w:pStyle w:val="a0"/>
        <w:numPr>
          <w:ilvl w:val="0"/>
          <w:numId w:val="19"/>
        </w:numPr>
        <w:spacing w:after="120"/>
        <w:ind w:left="360" w:hanging="270"/>
        <w:jc w:val="both"/>
        <w:rPr>
          <w:sz w:val="26"/>
          <w:szCs w:val="26"/>
        </w:rPr>
      </w:pPr>
      <w:r w:rsidRPr="000D1D0D">
        <w:rPr>
          <w:sz w:val="26"/>
          <w:szCs w:val="26"/>
        </w:rPr>
        <w:t>Використовувати типове лабораторне обладнання та вимірювальну апаратуру, типові</w:t>
      </w:r>
    </w:p>
    <w:p w:rsidR="005B547D" w:rsidRPr="000D1D0D" w:rsidRDefault="005B547D" w:rsidP="000D1D0D">
      <w:pPr>
        <w:pStyle w:val="a0"/>
        <w:spacing w:after="120"/>
        <w:ind w:left="360"/>
        <w:jc w:val="both"/>
        <w:rPr>
          <w:sz w:val="26"/>
          <w:szCs w:val="26"/>
        </w:rPr>
      </w:pPr>
      <w:r w:rsidRPr="000D1D0D">
        <w:rPr>
          <w:sz w:val="26"/>
          <w:szCs w:val="26"/>
        </w:rPr>
        <w:t>методи та устаткування, інструкції та довідкові дані, в умовах хімічної лабораторії</w:t>
      </w:r>
    </w:p>
    <w:p w:rsidR="005B547D" w:rsidRPr="000D1D0D" w:rsidRDefault="005B547D" w:rsidP="000D1D0D">
      <w:pPr>
        <w:pStyle w:val="a0"/>
        <w:spacing w:after="120"/>
        <w:ind w:left="360"/>
        <w:jc w:val="both"/>
        <w:rPr>
          <w:sz w:val="26"/>
          <w:szCs w:val="26"/>
        </w:rPr>
      </w:pPr>
      <w:r w:rsidRPr="000D1D0D">
        <w:rPr>
          <w:sz w:val="26"/>
          <w:szCs w:val="26"/>
        </w:rPr>
        <w:t>або хімічного виробництва виконувати фізико-хімічні випробування з хімічними</w:t>
      </w:r>
    </w:p>
    <w:p w:rsidR="005B547D" w:rsidRPr="000D1D0D" w:rsidRDefault="005B547D" w:rsidP="000D1D0D">
      <w:pPr>
        <w:pStyle w:val="a0"/>
        <w:spacing w:after="120"/>
        <w:ind w:left="360"/>
        <w:jc w:val="both"/>
        <w:rPr>
          <w:sz w:val="26"/>
          <w:szCs w:val="26"/>
        </w:rPr>
      </w:pPr>
      <w:r w:rsidRPr="000D1D0D">
        <w:rPr>
          <w:sz w:val="26"/>
          <w:szCs w:val="26"/>
        </w:rPr>
        <w:t>системами в твердій, газовій фазах та розчинах з метою визначення необхідних</w:t>
      </w:r>
    </w:p>
    <w:p w:rsidR="005B547D" w:rsidRPr="000D1D0D" w:rsidRDefault="005B547D" w:rsidP="000D1D0D">
      <w:pPr>
        <w:pStyle w:val="a0"/>
        <w:spacing w:after="120"/>
        <w:ind w:left="360"/>
        <w:jc w:val="both"/>
        <w:rPr>
          <w:sz w:val="26"/>
          <w:szCs w:val="26"/>
        </w:rPr>
      </w:pPr>
      <w:r w:rsidRPr="000D1D0D">
        <w:rPr>
          <w:sz w:val="26"/>
          <w:szCs w:val="26"/>
        </w:rPr>
        <w:t>фізико-хімічних даних для технологічного регламенту або ТЗ, або технічних умов (УМ 38).</w:t>
      </w:r>
    </w:p>
    <w:p w:rsidR="005B547D" w:rsidRPr="000D1D0D" w:rsidRDefault="005B547D" w:rsidP="000D1D0D">
      <w:pPr>
        <w:pStyle w:val="a0"/>
        <w:spacing w:after="120"/>
        <w:ind w:left="360"/>
        <w:jc w:val="both"/>
        <w:rPr>
          <w:rFonts w:eastAsia="Times New Roman"/>
          <w:sz w:val="26"/>
          <w:szCs w:val="26"/>
          <w:lang w:eastAsia="ru-RU"/>
        </w:rPr>
      </w:pPr>
      <w:r w:rsidRPr="000D1D0D">
        <w:rPr>
          <w:rFonts w:eastAsia="Times New Roman"/>
          <w:sz w:val="26"/>
          <w:szCs w:val="26"/>
          <w:lang w:eastAsia="ru-RU"/>
        </w:rPr>
        <w:t>- структурування наукової роботи, правильне написання розділів (вступ, результати та обговорення, висновки).</w:t>
      </w:r>
    </w:p>
    <w:p w:rsidR="005B547D" w:rsidRPr="000D1D0D" w:rsidRDefault="005B547D" w:rsidP="000D1D0D">
      <w:pPr>
        <w:pStyle w:val="a0"/>
        <w:spacing w:after="120"/>
        <w:ind w:left="360"/>
        <w:jc w:val="both"/>
        <w:rPr>
          <w:rFonts w:eastAsia="Times New Roman"/>
          <w:sz w:val="26"/>
          <w:szCs w:val="26"/>
          <w:lang w:eastAsia="ru-RU"/>
        </w:rPr>
      </w:pPr>
      <w:r w:rsidRPr="000D1D0D">
        <w:rPr>
          <w:rFonts w:eastAsia="Times New Roman"/>
          <w:sz w:val="26"/>
          <w:szCs w:val="26"/>
          <w:lang w:eastAsia="ru-RU"/>
        </w:rPr>
        <w:t>- робота з програмами EndNote та довідковими базами даних;</w:t>
      </w:r>
    </w:p>
    <w:p w:rsidR="005B547D" w:rsidRDefault="005B547D" w:rsidP="000D1D0D">
      <w:pPr>
        <w:pStyle w:val="a0"/>
        <w:spacing w:after="120"/>
        <w:ind w:left="360"/>
        <w:jc w:val="both"/>
        <w:rPr>
          <w:rFonts w:eastAsia="Times New Roman"/>
          <w:sz w:val="26"/>
          <w:szCs w:val="26"/>
          <w:lang w:eastAsia="ru-RU"/>
        </w:rPr>
      </w:pPr>
      <w:r w:rsidRPr="000D1D0D">
        <w:rPr>
          <w:rFonts w:eastAsia="Times New Roman"/>
          <w:sz w:val="26"/>
          <w:szCs w:val="26"/>
          <w:lang w:eastAsia="ru-RU"/>
        </w:rPr>
        <w:t>- підготовка грантової пропозиції на фінансування власного дослідження за темою;</w:t>
      </w:r>
    </w:p>
    <w:p w:rsidR="000D1D0D" w:rsidRPr="000D1D0D" w:rsidRDefault="000D1D0D" w:rsidP="000D1D0D">
      <w:pPr>
        <w:pStyle w:val="a0"/>
        <w:spacing w:after="120"/>
        <w:ind w:left="36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val="ru-RU" w:eastAsia="ru-RU"/>
        </w:rPr>
        <w:t>-презентувати і захіщати результати сво</w:t>
      </w:r>
      <w:r>
        <w:rPr>
          <w:rFonts w:eastAsia="Times New Roman"/>
          <w:sz w:val="26"/>
          <w:szCs w:val="26"/>
          <w:lang w:eastAsia="ru-RU"/>
        </w:rPr>
        <w:t>єї наукової роботи;</w:t>
      </w:r>
    </w:p>
    <w:p w:rsidR="005B547D" w:rsidRPr="000D1D0D" w:rsidRDefault="005B547D" w:rsidP="000D1D0D">
      <w:pPr>
        <w:pStyle w:val="a0"/>
        <w:spacing w:after="120"/>
        <w:ind w:left="360"/>
        <w:jc w:val="both"/>
        <w:rPr>
          <w:sz w:val="26"/>
          <w:szCs w:val="26"/>
        </w:rPr>
      </w:pPr>
      <w:r w:rsidRPr="000D1D0D">
        <w:rPr>
          <w:rFonts w:eastAsia="Times New Roman"/>
          <w:sz w:val="26"/>
          <w:szCs w:val="26"/>
          <w:lang w:eastAsia="ru-RU"/>
        </w:rPr>
        <w:t>- підготовка рецензійного звіту за даним рукописом.</w:t>
      </w:r>
    </w:p>
    <w:p w:rsidR="005B547D" w:rsidRPr="000D1D0D" w:rsidRDefault="005B547D" w:rsidP="000D1D0D">
      <w:pPr>
        <w:keepNext/>
        <w:jc w:val="both"/>
        <w:rPr>
          <w:rFonts w:eastAsia="Times New Roman"/>
          <w:b/>
          <w:sz w:val="26"/>
          <w:szCs w:val="26"/>
          <w:lang w:eastAsia="ru-RU"/>
        </w:rPr>
      </w:pPr>
      <w:r w:rsidRPr="000D1D0D">
        <w:rPr>
          <w:rFonts w:eastAsia="Times New Roman"/>
          <w:b/>
          <w:sz w:val="26"/>
          <w:szCs w:val="26"/>
          <w:lang w:eastAsia="ru-RU"/>
        </w:rPr>
        <w:t>досвід:</w:t>
      </w:r>
    </w:p>
    <w:p w:rsidR="005B547D" w:rsidRPr="000D1D0D" w:rsidRDefault="005B547D" w:rsidP="000D1D0D">
      <w:pPr>
        <w:keepNext/>
        <w:jc w:val="both"/>
        <w:rPr>
          <w:rFonts w:eastAsia="Times New Roman"/>
          <w:sz w:val="26"/>
          <w:szCs w:val="26"/>
          <w:lang w:eastAsia="ru-RU"/>
        </w:rPr>
      </w:pPr>
      <w:r w:rsidRPr="000D1D0D">
        <w:rPr>
          <w:rFonts w:eastAsia="Times New Roman"/>
          <w:sz w:val="26"/>
          <w:szCs w:val="26"/>
          <w:lang w:eastAsia="ru-RU"/>
        </w:rPr>
        <w:t>- використання навичок англійського наукового письма для підготовки рукопису;</w:t>
      </w:r>
    </w:p>
    <w:p w:rsidR="005B547D" w:rsidRPr="000D1D0D" w:rsidRDefault="005B547D" w:rsidP="000D1D0D">
      <w:pPr>
        <w:keepNext/>
        <w:jc w:val="both"/>
        <w:rPr>
          <w:rFonts w:eastAsia="Times New Roman"/>
          <w:sz w:val="26"/>
          <w:szCs w:val="26"/>
          <w:lang w:eastAsia="ru-RU"/>
        </w:rPr>
      </w:pPr>
      <w:r w:rsidRPr="000D1D0D">
        <w:rPr>
          <w:rFonts w:eastAsia="Times New Roman"/>
          <w:sz w:val="26"/>
          <w:szCs w:val="26"/>
          <w:lang w:eastAsia="ru-RU"/>
        </w:rPr>
        <w:t>-</w:t>
      </w:r>
      <w:r w:rsidR="000D1D0D">
        <w:rPr>
          <w:rFonts w:eastAsia="Times New Roman"/>
          <w:sz w:val="26"/>
          <w:szCs w:val="26"/>
          <w:lang w:eastAsia="ru-RU"/>
        </w:rPr>
        <w:t xml:space="preserve"> публічної доповіді</w:t>
      </w:r>
      <w:r w:rsidR="003C2684">
        <w:rPr>
          <w:rFonts w:eastAsia="Times New Roman"/>
          <w:sz w:val="26"/>
          <w:szCs w:val="26"/>
          <w:lang w:eastAsia="ru-RU"/>
        </w:rPr>
        <w:t xml:space="preserve"> та </w:t>
      </w:r>
      <w:r w:rsidR="00F27F77">
        <w:rPr>
          <w:rFonts w:eastAsia="Times New Roman"/>
          <w:sz w:val="26"/>
          <w:szCs w:val="26"/>
          <w:lang w:eastAsia="ru-RU"/>
        </w:rPr>
        <w:t xml:space="preserve">ведення </w:t>
      </w:r>
      <w:r w:rsidR="003C2684">
        <w:rPr>
          <w:rFonts w:eastAsia="Times New Roman"/>
          <w:sz w:val="26"/>
          <w:szCs w:val="26"/>
          <w:lang w:eastAsia="ru-RU"/>
        </w:rPr>
        <w:t>дискусії</w:t>
      </w:r>
      <w:r w:rsidR="000D1D0D">
        <w:rPr>
          <w:rFonts w:eastAsia="Times New Roman"/>
          <w:sz w:val="26"/>
          <w:szCs w:val="26"/>
          <w:lang w:eastAsia="ru-RU"/>
        </w:rPr>
        <w:t>.</w:t>
      </w:r>
    </w:p>
    <w:p w:rsidR="004A6336" w:rsidRPr="000D1D0D" w:rsidRDefault="004A6336" w:rsidP="000D1D0D">
      <w:pPr>
        <w:pStyle w:val="1"/>
        <w:spacing w:line="276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D1D0D">
        <w:rPr>
          <w:rFonts w:ascii="Times New Roman" w:hAnsi="Times New Roman"/>
          <w:color w:val="auto"/>
          <w:sz w:val="26"/>
          <w:szCs w:val="26"/>
        </w:rPr>
        <w:t>Пререквізити та постреквізити дисципліни (місце в структурно-логічній схемі навчання за відповідною освітньою програмою)</w:t>
      </w:r>
    </w:p>
    <w:p w:rsidR="00162029" w:rsidRPr="000D1D0D" w:rsidRDefault="00162029" w:rsidP="000D1D0D">
      <w:pPr>
        <w:tabs>
          <w:tab w:val="left" w:pos="9467"/>
        </w:tabs>
        <w:autoSpaceDE w:val="0"/>
        <w:autoSpaceDN w:val="0"/>
        <w:adjustRightInd w:val="0"/>
        <w:spacing w:before="120"/>
        <w:ind w:firstLine="567"/>
        <w:jc w:val="both"/>
        <w:rPr>
          <w:rFonts w:eastAsia="Times New Roman"/>
          <w:i/>
          <w:sz w:val="26"/>
          <w:szCs w:val="26"/>
          <w:lang w:eastAsia="ru-RU"/>
        </w:rPr>
      </w:pPr>
      <w:r w:rsidRPr="000D1D0D">
        <w:rPr>
          <w:rFonts w:eastAsia="Times New Roman"/>
          <w:bCs/>
          <w:sz w:val="26"/>
          <w:szCs w:val="26"/>
          <w:lang w:eastAsia="ru-RU"/>
        </w:rPr>
        <w:t>Міждисциплінарні зв’язки</w:t>
      </w:r>
      <w:r w:rsidRPr="000D1D0D">
        <w:rPr>
          <w:rFonts w:eastAsia="Times New Roman"/>
          <w:sz w:val="26"/>
          <w:szCs w:val="26"/>
          <w:lang w:eastAsia="ru-RU"/>
        </w:rPr>
        <w:t>: Матеріал кредитного модуля базується на дисциплінах «Органічна хімія», «Механізми органічних реакцій», «Хімія елементорганічних сполук», «Стереохімія органічних сполук», «Кінетика та термодинаміка органічних реакцій», «Хімія гетероциклічних сполук» і є завершальним у циклі професійної і практичної підготовки.</w:t>
      </w:r>
    </w:p>
    <w:p w:rsidR="00AA6B23" w:rsidRPr="000D1D0D" w:rsidRDefault="00AA6B23" w:rsidP="000D1D0D">
      <w:pPr>
        <w:pStyle w:val="1"/>
        <w:spacing w:line="276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D1D0D">
        <w:rPr>
          <w:rFonts w:ascii="Times New Roman" w:hAnsi="Times New Roman"/>
          <w:color w:val="auto"/>
          <w:sz w:val="26"/>
          <w:szCs w:val="26"/>
        </w:rPr>
        <w:t xml:space="preserve">Зміст навчальної дисципліни </w:t>
      </w:r>
    </w:p>
    <w:p w:rsidR="00366871" w:rsidRPr="000D1D0D" w:rsidRDefault="000337AD" w:rsidP="000D1D0D">
      <w:pPr>
        <w:ind w:firstLine="720"/>
        <w:jc w:val="both"/>
        <w:rPr>
          <w:b/>
          <w:sz w:val="26"/>
          <w:szCs w:val="26"/>
        </w:rPr>
      </w:pPr>
      <w:r w:rsidRPr="000D1D0D">
        <w:rPr>
          <w:sz w:val="26"/>
          <w:szCs w:val="26"/>
          <w:lang w:val="ru-RU"/>
        </w:rPr>
        <w:t>Запланован</w:t>
      </w:r>
      <w:r w:rsidR="00477565" w:rsidRPr="000D1D0D">
        <w:rPr>
          <w:sz w:val="26"/>
          <w:szCs w:val="26"/>
        </w:rPr>
        <w:t xml:space="preserve">а </w:t>
      </w:r>
      <w:r w:rsidRPr="000D1D0D">
        <w:rPr>
          <w:sz w:val="26"/>
          <w:szCs w:val="26"/>
          <w:lang w:val="ru-RU"/>
        </w:rPr>
        <w:t xml:space="preserve"> виключ</w:t>
      </w:r>
      <w:r w:rsidR="00477565" w:rsidRPr="000D1D0D">
        <w:rPr>
          <w:sz w:val="26"/>
          <w:szCs w:val="26"/>
          <w:lang w:val="ru-RU"/>
        </w:rPr>
        <w:t>но свмостійна робота студентів на</w:t>
      </w:r>
      <w:r w:rsidR="003C2684">
        <w:rPr>
          <w:sz w:val="26"/>
          <w:szCs w:val="26"/>
          <w:lang w:val="ru-RU"/>
        </w:rPr>
        <w:t>д експеріментальною та теоретичною випускової частинами</w:t>
      </w:r>
      <w:r w:rsidR="00477565" w:rsidRPr="000D1D0D">
        <w:rPr>
          <w:sz w:val="26"/>
          <w:szCs w:val="26"/>
          <w:lang w:val="ru-RU"/>
        </w:rPr>
        <w:t xml:space="preserve"> дипломно</w:t>
      </w:r>
      <w:r w:rsidR="003C2684">
        <w:rPr>
          <w:sz w:val="26"/>
          <w:szCs w:val="26"/>
          <w:lang w:val="ru-RU"/>
        </w:rPr>
        <w:t>ї</w:t>
      </w:r>
      <w:r w:rsidR="00477565" w:rsidRPr="000D1D0D">
        <w:rPr>
          <w:sz w:val="26"/>
          <w:szCs w:val="26"/>
          <w:lang w:val="ru-RU"/>
        </w:rPr>
        <w:t xml:space="preserve"> робот</w:t>
      </w:r>
      <w:r w:rsidR="003C2684">
        <w:rPr>
          <w:sz w:val="26"/>
          <w:szCs w:val="26"/>
          <w:lang w:val="ru-RU"/>
        </w:rPr>
        <w:t>и</w:t>
      </w:r>
      <w:r w:rsidR="00477565" w:rsidRPr="000D1D0D">
        <w:rPr>
          <w:sz w:val="26"/>
          <w:szCs w:val="26"/>
          <w:lang w:val="ru-RU"/>
        </w:rPr>
        <w:t xml:space="preserve">. </w:t>
      </w:r>
    </w:p>
    <w:p w:rsidR="008B16FE" w:rsidRPr="000D1D0D" w:rsidRDefault="008B16FE" w:rsidP="000D1D0D">
      <w:pPr>
        <w:pStyle w:val="1"/>
        <w:spacing w:line="276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D1D0D">
        <w:rPr>
          <w:rFonts w:ascii="Times New Roman" w:hAnsi="Times New Roman"/>
          <w:color w:val="auto"/>
          <w:sz w:val="26"/>
          <w:szCs w:val="26"/>
        </w:rPr>
        <w:t>Навчальні матеріали та ресурси</w:t>
      </w:r>
    </w:p>
    <w:p w:rsidR="00AA6B23" w:rsidRPr="00B21CD5" w:rsidRDefault="0068152C" w:rsidP="000D1D0D">
      <w:pPr>
        <w:spacing w:after="120"/>
        <w:jc w:val="both"/>
        <w:rPr>
          <w:sz w:val="26"/>
          <w:szCs w:val="26"/>
          <w:lang w:val="ru-RU"/>
        </w:rPr>
      </w:pPr>
      <w:r w:rsidRPr="00B21CD5">
        <w:rPr>
          <w:sz w:val="26"/>
          <w:szCs w:val="26"/>
          <w:lang w:val="ru-RU"/>
        </w:rPr>
        <w:tab/>
      </w:r>
      <w:r w:rsidR="00477565" w:rsidRPr="00B21CD5">
        <w:rPr>
          <w:sz w:val="26"/>
          <w:szCs w:val="26"/>
          <w:lang w:val="ru-RU"/>
        </w:rPr>
        <w:t>Навчальні матеріали базуються викл</w:t>
      </w:r>
      <w:r w:rsidR="003C2684">
        <w:rPr>
          <w:sz w:val="26"/>
          <w:szCs w:val="26"/>
        </w:rPr>
        <w:t>ю</w:t>
      </w:r>
      <w:r w:rsidR="00477565" w:rsidRPr="00B21CD5">
        <w:rPr>
          <w:sz w:val="26"/>
          <w:szCs w:val="26"/>
          <w:lang w:val="ru-RU"/>
        </w:rPr>
        <w:t>чно на оригінальній наукової літератури і призначіються керівником дипломної роботи.</w:t>
      </w:r>
      <w:r w:rsidR="004F7BDB" w:rsidRPr="00B21CD5">
        <w:rPr>
          <w:b/>
          <w:sz w:val="26"/>
          <w:szCs w:val="26"/>
          <w:lang w:val="ru-RU"/>
        </w:rPr>
        <w:tab/>
      </w:r>
    </w:p>
    <w:p w:rsidR="004A6336" w:rsidRPr="000D1D0D" w:rsidRDefault="00791855" w:rsidP="000D1D0D">
      <w:pPr>
        <w:pStyle w:val="1"/>
        <w:spacing w:line="276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D1D0D">
        <w:rPr>
          <w:rFonts w:ascii="Times New Roman" w:hAnsi="Times New Roman"/>
          <w:color w:val="auto"/>
          <w:sz w:val="26"/>
          <w:szCs w:val="26"/>
        </w:rPr>
        <w:t>Методика</w:t>
      </w:r>
      <w:r w:rsidR="00F51B26" w:rsidRPr="000D1D0D">
        <w:rPr>
          <w:rFonts w:ascii="Times New Roman" w:hAnsi="Times New Roman"/>
          <w:color w:val="auto"/>
          <w:sz w:val="26"/>
          <w:szCs w:val="26"/>
        </w:rPr>
        <w:t xml:space="preserve"> опанування </w:t>
      </w:r>
      <w:r w:rsidR="00AA6B23" w:rsidRPr="000D1D0D">
        <w:rPr>
          <w:rFonts w:ascii="Times New Roman" w:hAnsi="Times New Roman"/>
          <w:color w:val="auto"/>
          <w:sz w:val="26"/>
          <w:szCs w:val="26"/>
        </w:rPr>
        <w:t xml:space="preserve">навчальної </w:t>
      </w:r>
      <w:r w:rsidR="004A6336" w:rsidRPr="000D1D0D">
        <w:rPr>
          <w:rFonts w:ascii="Times New Roman" w:hAnsi="Times New Roman"/>
          <w:color w:val="auto"/>
          <w:sz w:val="26"/>
          <w:szCs w:val="26"/>
        </w:rPr>
        <w:t>дисципліни</w:t>
      </w:r>
      <w:r w:rsidR="004D1575" w:rsidRPr="000D1D0D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87AFC" w:rsidRPr="000D1D0D">
        <w:rPr>
          <w:rFonts w:ascii="Times New Roman" w:hAnsi="Times New Roman"/>
          <w:color w:val="auto"/>
          <w:sz w:val="26"/>
          <w:szCs w:val="26"/>
        </w:rPr>
        <w:t>(освітнього компонента)</w:t>
      </w:r>
    </w:p>
    <w:p w:rsidR="009904B0" w:rsidRPr="000D1D0D" w:rsidRDefault="009904B0" w:rsidP="000D1D0D">
      <w:pPr>
        <w:spacing w:after="120"/>
        <w:ind w:firstLine="397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0D1D0D">
        <w:rPr>
          <w:rFonts w:eastAsia="Times New Roman"/>
          <w:b/>
          <w:bCs/>
          <w:sz w:val="26"/>
          <w:szCs w:val="26"/>
          <w:lang w:eastAsia="ru-RU"/>
        </w:rPr>
        <w:t>Самостійна робота студента</w:t>
      </w:r>
    </w:p>
    <w:p w:rsidR="009904B0" w:rsidRPr="000D1D0D" w:rsidRDefault="009904B0" w:rsidP="000D1D0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  <w:r w:rsidRPr="000D1D0D">
        <w:rPr>
          <w:rFonts w:eastAsia="Times New Roman"/>
          <w:bCs/>
          <w:sz w:val="26"/>
          <w:szCs w:val="26"/>
          <w:lang w:eastAsia="ru-RU"/>
        </w:rPr>
        <w:t>Самостійна робота студента (СРС) протягом семестру включає освоєння  теоретичного мате</w:t>
      </w:r>
      <w:r w:rsidR="003C2684">
        <w:rPr>
          <w:rFonts w:eastAsia="Times New Roman"/>
          <w:bCs/>
          <w:sz w:val="26"/>
          <w:szCs w:val="26"/>
          <w:lang w:eastAsia="ru-RU"/>
        </w:rPr>
        <w:t xml:space="preserve">ріалу винесеного на самостійне </w:t>
      </w:r>
      <w:r w:rsidRPr="000D1D0D">
        <w:rPr>
          <w:rFonts w:eastAsia="Times New Roman"/>
          <w:bCs/>
          <w:sz w:val="26"/>
          <w:szCs w:val="26"/>
          <w:lang w:eastAsia="ru-RU"/>
        </w:rPr>
        <w:t>опрацювання</w:t>
      </w:r>
      <w:r w:rsidR="00477565" w:rsidRPr="000D1D0D">
        <w:rPr>
          <w:rFonts w:eastAsia="Times New Roman"/>
          <w:bCs/>
          <w:sz w:val="26"/>
          <w:szCs w:val="26"/>
          <w:lang w:eastAsia="ru-RU"/>
        </w:rPr>
        <w:t xml:space="preserve"> керівником</w:t>
      </w:r>
      <w:r w:rsidR="003C2684">
        <w:rPr>
          <w:rFonts w:eastAsia="Times New Roman"/>
          <w:bCs/>
          <w:sz w:val="26"/>
          <w:szCs w:val="26"/>
          <w:lang w:eastAsia="ru-RU"/>
        </w:rPr>
        <w:t>, а також роботу над експеріментальною (розра</w:t>
      </w:r>
      <w:r w:rsidR="00F27F77">
        <w:rPr>
          <w:rFonts w:eastAsia="Times New Roman"/>
          <w:bCs/>
          <w:sz w:val="26"/>
          <w:szCs w:val="26"/>
          <w:lang w:eastAsia="ru-RU"/>
        </w:rPr>
        <w:t>х</w:t>
      </w:r>
      <w:r w:rsidR="003C2684">
        <w:rPr>
          <w:rFonts w:eastAsia="Times New Roman"/>
          <w:bCs/>
          <w:sz w:val="26"/>
          <w:szCs w:val="26"/>
          <w:lang w:eastAsia="ru-RU"/>
        </w:rPr>
        <w:t xml:space="preserve">унковою) частинами роботи. </w:t>
      </w:r>
      <w:r w:rsidR="00477565" w:rsidRPr="000D1D0D">
        <w:rPr>
          <w:rFonts w:eastAsia="Times New Roman"/>
          <w:bCs/>
          <w:sz w:val="26"/>
          <w:szCs w:val="26"/>
          <w:lang w:eastAsia="ru-RU"/>
        </w:rPr>
        <w:t xml:space="preserve"> Керівник </w:t>
      </w:r>
      <w:r w:rsidR="00F27F77">
        <w:rPr>
          <w:rFonts w:eastAsia="Times New Roman"/>
          <w:bCs/>
          <w:sz w:val="26"/>
          <w:szCs w:val="26"/>
          <w:lang w:eastAsia="ru-RU"/>
        </w:rPr>
        <w:t xml:space="preserve">роботи </w:t>
      </w:r>
      <w:r w:rsidR="00477565" w:rsidRPr="000D1D0D">
        <w:rPr>
          <w:rFonts w:eastAsia="Times New Roman"/>
          <w:bCs/>
          <w:sz w:val="26"/>
          <w:szCs w:val="26"/>
          <w:lang w:eastAsia="ru-RU"/>
        </w:rPr>
        <w:t>несе відповідальність за видачу завдань, літ</w:t>
      </w:r>
      <w:r w:rsidR="003C2684">
        <w:rPr>
          <w:rFonts w:eastAsia="Times New Roman"/>
          <w:bCs/>
          <w:sz w:val="26"/>
          <w:szCs w:val="26"/>
          <w:lang w:eastAsia="ru-RU"/>
        </w:rPr>
        <w:t>е</w:t>
      </w:r>
      <w:r w:rsidR="00477565" w:rsidRPr="000D1D0D">
        <w:rPr>
          <w:rFonts w:eastAsia="Times New Roman"/>
          <w:bCs/>
          <w:sz w:val="26"/>
          <w:szCs w:val="26"/>
          <w:lang w:eastAsia="ru-RU"/>
        </w:rPr>
        <w:t>ратури та за контроль за виконанням проекту.</w:t>
      </w:r>
      <w:r w:rsidR="003C2684">
        <w:rPr>
          <w:rFonts w:eastAsia="Times New Roman"/>
          <w:bCs/>
          <w:sz w:val="26"/>
          <w:szCs w:val="26"/>
          <w:lang w:eastAsia="ru-RU"/>
        </w:rPr>
        <w:t xml:space="preserve">  </w:t>
      </w:r>
    </w:p>
    <w:p w:rsidR="009904B0" w:rsidRPr="000D1D0D" w:rsidRDefault="009904B0" w:rsidP="000D1D0D">
      <w:pPr>
        <w:spacing w:after="120"/>
        <w:ind w:firstLine="397"/>
        <w:jc w:val="both"/>
        <w:rPr>
          <w:rFonts w:eastAsia="Times New Roman"/>
          <w:bCs/>
          <w:sz w:val="26"/>
          <w:szCs w:val="26"/>
          <w:lang w:eastAsia="ru-RU"/>
        </w:rPr>
      </w:pPr>
    </w:p>
    <w:p w:rsidR="009904B0" w:rsidRPr="000D1D0D" w:rsidRDefault="009904B0" w:rsidP="000D1D0D">
      <w:pPr>
        <w:spacing w:after="120"/>
        <w:ind w:firstLine="397"/>
        <w:jc w:val="both"/>
        <w:rPr>
          <w:sz w:val="26"/>
          <w:szCs w:val="26"/>
        </w:rPr>
      </w:pPr>
    </w:p>
    <w:p w:rsidR="00F95D78" w:rsidRPr="000D1D0D" w:rsidRDefault="00EB4F56" w:rsidP="000D1D0D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D1D0D">
        <w:rPr>
          <w:rFonts w:ascii="Times New Roman" w:hAnsi="Times New Roman"/>
          <w:color w:val="auto"/>
          <w:sz w:val="26"/>
          <w:szCs w:val="26"/>
        </w:rPr>
        <w:lastRenderedPageBreak/>
        <w:t>Політика та контроль</w:t>
      </w:r>
    </w:p>
    <w:p w:rsidR="004A6336" w:rsidRPr="000D1D0D" w:rsidRDefault="00F51B26" w:rsidP="000D1D0D">
      <w:pPr>
        <w:pStyle w:val="1"/>
        <w:spacing w:line="276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D1D0D">
        <w:rPr>
          <w:rFonts w:ascii="Times New Roman" w:hAnsi="Times New Roman"/>
          <w:color w:val="auto"/>
          <w:sz w:val="26"/>
          <w:szCs w:val="26"/>
        </w:rPr>
        <w:t>П</w:t>
      </w:r>
      <w:r w:rsidR="004A6336" w:rsidRPr="000D1D0D">
        <w:rPr>
          <w:rFonts w:ascii="Times New Roman" w:hAnsi="Times New Roman"/>
          <w:color w:val="auto"/>
          <w:sz w:val="26"/>
          <w:szCs w:val="26"/>
        </w:rPr>
        <w:t>олітика навчальної дисципліни</w:t>
      </w:r>
      <w:r w:rsidR="00087AFC" w:rsidRPr="000D1D0D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:rsidR="008705F4" w:rsidRPr="000D1D0D" w:rsidRDefault="00887281" w:rsidP="000D1D0D">
      <w:pPr>
        <w:pStyle w:val="a0"/>
        <w:spacing w:after="120"/>
        <w:jc w:val="both"/>
        <w:rPr>
          <w:sz w:val="26"/>
          <w:szCs w:val="26"/>
        </w:rPr>
      </w:pPr>
      <w:r w:rsidRPr="000D1D0D">
        <w:rPr>
          <w:rFonts w:eastAsia="Times New Roman"/>
          <w:bCs/>
          <w:sz w:val="26"/>
          <w:szCs w:val="26"/>
          <w:lang w:eastAsia="ru-RU"/>
        </w:rPr>
        <w:t>Всі</w:t>
      </w:r>
      <w:r w:rsidRPr="000D1D0D">
        <w:rPr>
          <w:sz w:val="26"/>
          <w:szCs w:val="26"/>
        </w:rPr>
        <w:t xml:space="preserve"> вимоги не суперечать законодавству України </w:t>
      </w:r>
      <w:r w:rsidRPr="000D1D0D">
        <w:rPr>
          <w:rFonts w:eastAsia="Times New Roman"/>
          <w:bCs/>
          <w:sz w:val="26"/>
          <w:szCs w:val="26"/>
          <w:lang w:eastAsia="ru-RU"/>
        </w:rPr>
        <w:t>і</w:t>
      </w:r>
      <w:r w:rsidRPr="00B21CD5">
        <w:rPr>
          <w:sz w:val="26"/>
          <w:szCs w:val="26"/>
          <w:lang w:val="ru-RU"/>
        </w:rPr>
        <w:t xml:space="preserve"> </w:t>
      </w:r>
      <w:r w:rsidRPr="000D1D0D">
        <w:rPr>
          <w:sz w:val="26"/>
          <w:szCs w:val="26"/>
          <w:lang w:val="ru-RU"/>
        </w:rPr>
        <w:t>в</w:t>
      </w:r>
      <w:r w:rsidRPr="000D1D0D">
        <w:rPr>
          <w:rFonts w:eastAsia="Times New Roman"/>
          <w:bCs/>
          <w:sz w:val="26"/>
          <w:szCs w:val="26"/>
          <w:lang w:eastAsia="ru-RU"/>
        </w:rPr>
        <w:t>і</w:t>
      </w:r>
      <w:r w:rsidRPr="000D1D0D">
        <w:rPr>
          <w:sz w:val="26"/>
          <w:szCs w:val="26"/>
          <w:lang w:val="ru-RU"/>
        </w:rPr>
        <w:t>дпов</w:t>
      </w:r>
      <w:r w:rsidRPr="000D1D0D">
        <w:rPr>
          <w:rFonts w:eastAsia="Times New Roman"/>
          <w:bCs/>
          <w:sz w:val="26"/>
          <w:szCs w:val="26"/>
          <w:lang w:eastAsia="ru-RU"/>
        </w:rPr>
        <w:t>і</w:t>
      </w:r>
      <w:r w:rsidRPr="000D1D0D">
        <w:rPr>
          <w:sz w:val="26"/>
          <w:szCs w:val="26"/>
          <w:lang w:val="ru-RU"/>
        </w:rPr>
        <w:t>дают</w:t>
      </w:r>
      <w:r w:rsidRPr="000D1D0D">
        <w:rPr>
          <w:rFonts w:eastAsia="Times New Roman"/>
          <w:bCs/>
          <w:sz w:val="26"/>
          <w:szCs w:val="26"/>
          <w:lang w:eastAsia="ru-RU"/>
        </w:rPr>
        <w:t>ь</w:t>
      </w:r>
      <w:r w:rsidRPr="000D1D0D">
        <w:rPr>
          <w:sz w:val="26"/>
          <w:szCs w:val="26"/>
        </w:rPr>
        <w:t xml:space="preserve"> нормативним документам Університету.</w:t>
      </w:r>
      <w:r w:rsidR="008705F4" w:rsidRPr="000D1D0D">
        <w:rPr>
          <w:sz w:val="26"/>
          <w:szCs w:val="26"/>
        </w:rPr>
        <w:t xml:space="preserve"> Після перевірки </w:t>
      </w:r>
      <w:r w:rsidR="003C2684">
        <w:rPr>
          <w:sz w:val="26"/>
          <w:szCs w:val="26"/>
        </w:rPr>
        <w:t xml:space="preserve">керівником і процедури </w:t>
      </w:r>
      <w:r w:rsidR="008705F4" w:rsidRPr="000D1D0D">
        <w:rPr>
          <w:sz w:val="26"/>
          <w:szCs w:val="26"/>
        </w:rPr>
        <w:t>захист</w:t>
      </w:r>
      <w:r w:rsidR="003C2684">
        <w:rPr>
          <w:sz w:val="26"/>
          <w:szCs w:val="26"/>
        </w:rPr>
        <w:t>у</w:t>
      </w:r>
      <w:r w:rsidR="008705F4" w:rsidRPr="000D1D0D">
        <w:rPr>
          <w:sz w:val="26"/>
          <w:szCs w:val="26"/>
        </w:rPr>
        <w:t xml:space="preserve"> </w:t>
      </w:r>
      <w:r w:rsidR="003C2684" w:rsidRPr="000D1D0D">
        <w:rPr>
          <w:sz w:val="26"/>
          <w:szCs w:val="26"/>
        </w:rPr>
        <w:t xml:space="preserve"> </w:t>
      </w:r>
      <w:r w:rsidR="003C2684">
        <w:rPr>
          <w:sz w:val="26"/>
          <w:szCs w:val="26"/>
        </w:rPr>
        <w:t>атестаційною комісією</w:t>
      </w:r>
      <w:r w:rsidR="003C2684" w:rsidRPr="000D1D0D">
        <w:rPr>
          <w:sz w:val="26"/>
          <w:szCs w:val="26"/>
        </w:rPr>
        <w:t xml:space="preserve"> </w:t>
      </w:r>
      <w:r w:rsidR="008705F4" w:rsidRPr="000D1D0D">
        <w:rPr>
          <w:sz w:val="26"/>
          <w:szCs w:val="26"/>
        </w:rPr>
        <w:t>виставляється загальна оцінка і робота вважається захищеною.</w:t>
      </w:r>
    </w:p>
    <w:p w:rsidR="008705F4" w:rsidRPr="000D1D0D" w:rsidRDefault="008705F4" w:rsidP="000D1D0D">
      <w:pPr>
        <w:pStyle w:val="a0"/>
        <w:spacing w:after="120"/>
        <w:jc w:val="both"/>
        <w:rPr>
          <w:sz w:val="26"/>
          <w:szCs w:val="26"/>
        </w:rPr>
      </w:pPr>
      <w:r w:rsidRPr="000D1D0D">
        <w:rPr>
          <w:sz w:val="26"/>
          <w:szCs w:val="26"/>
        </w:rPr>
        <w:t xml:space="preserve">Несвоєчасні </w:t>
      </w:r>
      <w:r w:rsidR="00477565" w:rsidRPr="000D1D0D">
        <w:rPr>
          <w:sz w:val="26"/>
          <w:szCs w:val="26"/>
        </w:rPr>
        <w:t xml:space="preserve">підготовка до </w:t>
      </w:r>
      <w:r w:rsidRPr="000D1D0D">
        <w:rPr>
          <w:sz w:val="26"/>
          <w:szCs w:val="26"/>
        </w:rPr>
        <w:t>захист</w:t>
      </w:r>
      <w:r w:rsidR="00477565" w:rsidRPr="000D1D0D">
        <w:rPr>
          <w:sz w:val="26"/>
          <w:szCs w:val="26"/>
        </w:rPr>
        <w:t>у</w:t>
      </w:r>
      <w:r w:rsidRPr="000D1D0D">
        <w:rPr>
          <w:sz w:val="26"/>
          <w:szCs w:val="26"/>
        </w:rPr>
        <w:t xml:space="preserve"> роботи без поважної причини штрафуються відповідно до правил призначення заохочувальних та штрафних балів</w:t>
      </w:r>
      <w:r w:rsidR="00477565" w:rsidRPr="000D1D0D">
        <w:rPr>
          <w:sz w:val="26"/>
          <w:szCs w:val="26"/>
        </w:rPr>
        <w:t>, при накопичуванні критичної ї</w:t>
      </w:r>
      <w:r w:rsidR="0058537F" w:rsidRPr="000D1D0D">
        <w:rPr>
          <w:sz w:val="26"/>
          <w:szCs w:val="26"/>
        </w:rPr>
        <w:t>х кількості кафедра не допускає студента до предза</w:t>
      </w:r>
      <w:r w:rsidR="003C2684">
        <w:rPr>
          <w:sz w:val="26"/>
          <w:szCs w:val="26"/>
        </w:rPr>
        <w:t>х</w:t>
      </w:r>
      <w:r w:rsidR="0058537F" w:rsidRPr="000D1D0D">
        <w:rPr>
          <w:sz w:val="26"/>
          <w:szCs w:val="26"/>
        </w:rPr>
        <w:t>исту на кафедрі.</w:t>
      </w:r>
    </w:p>
    <w:p w:rsidR="00706B1B" w:rsidRPr="000D1D0D" w:rsidRDefault="00706B1B" w:rsidP="000D1D0D">
      <w:pPr>
        <w:pStyle w:val="a0"/>
        <w:spacing w:after="120"/>
        <w:jc w:val="both"/>
        <w:rPr>
          <w:sz w:val="26"/>
          <w:szCs w:val="26"/>
        </w:rPr>
      </w:pPr>
    </w:p>
    <w:p w:rsidR="008705F4" w:rsidRPr="000D1D0D" w:rsidRDefault="008705F4" w:rsidP="000D1D0D">
      <w:pPr>
        <w:pStyle w:val="a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0D1D0D">
        <w:rPr>
          <w:b/>
          <w:sz w:val="26"/>
          <w:szCs w:val="26"/>
        </w:rPr>
        <w:t>Види контролю та рейтингова система оцінювання результатів навчання (РСО)</w:t>
      </w:r>
    </w:p>
    <w:p w:rsidR="008705F4" w:rsidRPr="000D1D0D" w:rsidRDefault="008705F4" w:rsidP="000D1D0D">
      <w:pPr>
        <w:pStyle w:val="a0"/>
        <w:spacing w:after="120"/>
        <w:jc w:val="both"/>
        <w:rPr>
          <w:sz w:val="26"/>
          <w:szCs w:val="26"/>
        </w:rPr>
      </w:pPr>
      <w:r w:rsidRPr="000D1D0D">
        <w:rPr>
          <w:sz w:val="26"/>
          <w:szCs w:val="26"/>
        </w:rPr>
        <w:t>Види контролю встановлюються відпов</w:t>
      </w:r>
      <w:r w:rsidR="00706B1B" w:rsidRPr="000D1D0D">
        <w:rPr>
          <w:sz w:val="26"/>
          <w:szCs w:val="26"/>
        </w:rPr>
        <w:t xml:space="preserve">ідно до Положення про поточний, </w:t>
      </w:r>
      <w:r w:rsidRPr="000D1D0D">
        <w:rPr>
          <w:sz w:val="26"/>
          <w:szCs w:val="26"/>
        </w:rPr>
        <w:t xml:space="preserve">календарний та семестровий контроль результатів навчання в КПІ ім. Ігоря Сікорського: </w:t>
      </w:r>
    </w:p>
    <w:p w:rsidR="003C2684" w:rsidRDefault="008705F4" w:rsidP="000D1D0D">
      <w:pPr>
        <w:pStyle w:val="a0"/>
        <w:numPr>
          <w:ilvl w:val="0"/>
          <w:numId w:val="25"/>
        </w:numPr>
        <w:spacing w:after="120"/>
        <w:jc w:val="both"/>
        <w:rPr>
          <w:sz w:val="26"/>
          <w:szCs w:val="26"/>
        </w:rPr>
      </w:pPr>
      <w:r w:rsidRPr="000D1D0D">
        <w:rPr>
          <w:sz w:val="26"/>
          <w:szCs w:val="26"/>
          <w:u w:val="single"/>
        </w:rPr>
        <w:t>Поточний контроль</w:t>
      </w:r>
      <w:r w:rsidR="0058537F" w:rsidRPr="000D1D0D">
        <w:rPr>
          <w:sz w:val="26"/>
          <w:szCs w:val="26"/>
        </w:rPr>
        <w:t xml:space="preserve">: </w:t>
      </w:r>
      <w:r w:rsidR="003C2684">
        <w:rPr>
          <w:sz w:val="26"/>
          <w:szCs w:val="26"/>
        </w:rPr>
        <w:t>в</w:t>
      </w:r>
      <w:r w:rsidR="0058537F" w:rsidRPr="000D1D0D">
        <w:rPr>
          <w:sz w:val="26"/>
          <w:szCs w:val="26"/>
        </w:rPr>
        <w:t>иконання студентом плану науково-дослідної ро</w:t>
      </w:r>
      <w:r w:rsidR="003C2684">
        <w:rPr>
          <w:sz w:val="26"/>
          <w:szCs w:val="26"/>
        </w:rPr>
        <w:t>б</w:t>
      </w:r>
      <w:r w:rsidR="0058537F" w:rsidRPr="000D1D0D">
        <w:rPr>
          <w:sz w:val="26"/>
          <w:szCs w:val="26"/>
        </w:rPr>
        <w:t>оти.</w:t>
      </w:r>
    </w:p>
    <w:p w:rsidR="008705F4" w:rsidRPr="000D1D0D" w:rsidRDefault="008705F4" w:rsidP="000D1D0D">
      <w:pPr>
        <w:pStyle w:val="a0"/>
        <w:numPr>
          <w:ilvl w:val="0"/>
          <w:numId w:val="25"/>
        </w:numPr>
        <w:spacing w:after="120"/>
        <w:jc w:val="both"/>
        <w:rPr>
          <w:sz w:val="26"/>
          <w:szCs w:val="26"/>
        </w:rPr>
      </w:pPr>
      <w:r w:rsidRPr="000D1D0D">
        <w:rPr>
          <w:sz w:val="26"/>
          <w:szCs w:val="26"/>
          <w:u w:val="single"/>
        </w:rPr>
        <w:t>Календарний контроль</w:t>
      </w:r>
      <w:r w:rsidRPr="000D1D0D">
        <w:rPr>
          <w:sz w:val="26"/>
          <w:szCs w:val="26"/>
        </w:rPr>
        <w:t xml:space="preserve">: проводиться двічі на семестр як моніторинг поточного стану виконання вимог </w:t>
      </w:r>
      <w:r w:rsidR="0058537F" w:rsidRPr="000D1D0D">
        <w:rPr>
          <w:sz w:val="26"/>
          <w:szCs w:val="26"/>
        </w:rPr>
        <w:t>до дисертації магістра</w:t>
      </w:r>
      <w:r w:rsidRPr="000D1D0D">
        <w:rPr>
          <w:sz w:val="26"/>
          <w:szCs w:val="26"/>
        </w:rPr>
        <w:t>.</w:t>
      </w:r>
    </w:p>
    <w:p w:rsidR="008705F4" w:rsidRPr="000D1D0D" w:rsidRDefault="008705F4" w:rsidP="000D1D0D">
      <w:pPr>
        <w:pStyle w:val="a0"/>
        <w:numPr>
          <w:ilvl w:val="0"/>
          <w:numId w:val="25"/>
        </w:numPr>
        <w:spacing w:after="120"/>
        <w:jc w:val="both"/>
        <w:rPr>
          <w:sz w:val="26"/>
          <w:szCs w:val="26"/>
        </w:rPr>
      </w:pPr>
      <w:r w:rsidRPr="000D1D0D">
        <w:rPr>
          <w:sz w:val="26"/>
          <w:szCs w:val="26"/>
          <w:u w:val="single"/>
        </w:rPr>
        <w:t>Семестровий контроль</w:t>
      </w:r>
      <w:r w:rsidRPr="000D1D0D">
        <w:rPr>
          <w:sz w:val="26"/>
          <w:szCs w:val="26"/>
        </w:rPr>
        <w:t xml:space="preserve">: </w:t>
      </w:r>
      <w:r w:rsidR="003C2684">
        <w:rPr>
          <w:sz w:val="26"/>
          <w:szCs w:val="26"/>
        </w:rPr>
        <w:t>предзазахист на кафедрі.</w:t>
      </w:r>
    </w:p>
    <w:p w:rsidR="008705F4" w:rsidRPr="000D1D0D" w:rsidRDefault="008705F4" w:rsidP="000D1D0D">
      <w:pPr>
        <w:pStyle w:val="a0"/>
        <w:spacing w:after="120"/>
        <w:jc w:val="both"/>
        <w:rPr>
          <w:sz w:val="26"/>
          <w:szCs w:val="26"/>
        </w:rPr>
      </w:pPr>
      <w:r w:rsidRPr="000D1D0D">
        <w:rPr>
          <w:b/>
          <w:sz w:val="26"/>
          <w:szCs w:val="26"/>
        </w:rPr>
        <w:t>Рейтингова система оцінювання результатів навчання</w:t>
      </w:r>
    </w:p>
    <w:p w:rsidR="008705F4" w:rsidRPr="000D1D0D" w:rsidRDefault="008705F4" w:rsidP="000D1D0D">
      <w:pPr>
        <w:pStyle w:val="a0"/>
        <w:spacing w:after="120"/>
        <w:jc w:val="both"/>
        <w:rPr>
          <w:sz w:val="26"/>
          <w:szCs w:val="26"/>
        </w:rPr>
      </w:pPr>
      <w:r w:rsidRPr="000D1D0D">
        <w:rPr>
          <w:sz w:val="26"/>
          <w:szCs w:val="26"/>
        </w:rPr>
        <w:t>1. Рейтинг студента з кредитного модуля розраховується виходячи із 100-бальної шкали, з них 50 бали складає стартова шкала. Стартовий рейтинг (протягом семестру) складається з балів, що студент отримує за:</w:t>
      </w:r>
    </w:p>
    <w:p w:rsidR="008705F4" w:rsidRPr="000D1D0D" w:rsidRDefault="0058537F" w:rsidP="000D1D0D">
      <w:pPr>
        <w:pStyle w:val="a0"/>
        <w:numPr>
          <w:ilvl w:val="0"/>
          <w:numId w:val="27"/>
        </w:numPr>
        <w:spacing w:after="120"/>
        <w:jc w:val="both"/>
        <w:rPr>
          <w:sz w:val="26"/>
          <w:szCs w:val="26"/>
        </w:rPr>
      </w:pPr>
      <w:r w:rsidRPr="000D1D0D">
        <w:rPr>
          <w:sz w:val="26"/>
          <w:szCs w:val="26"/>
        </w:rPr>
        <w:t>в</w:t>
      </w:r>
      <w:r w:rsidR="00706B1B" w:rsidRPr="000D1D0D">
        <w:rPr>
          <w:sz w:val="26"/>
          <w:szCs w:val="26"/>
        </w:rPr>
        <w:t>иконання індівідуальних завдань</w:t>
      </w:r>
      <w:r w:rsidR="008705F4" w:rsidRPr="000D1D0D">
        <w:rPr>
          <w:sz w:val="26"/>
          <w:szCs w:val="26"/>
        </w:rPr>
        <w:t xml:space="preserve">; </w:t>
      </w:r>
    </w:p>
    <w:p w:rsidR="008705F4" w:rsidRPr="000D1D0D" w:rsidRDefault="0058537F" w:rsidP="000D1D0D">
      <w:pPr>
        <w:pStyle w:val="a0"/>
        <w:numPr>
          <w:ilvl w:val="0"/>
          <w:numId w:val="27"/>
        </w:numPr>
        <w:spacing w:after="120"/>
        <w:jc w:val="both"/>
        <w:rPr>
          <w:sz w:val="26"/>
          <w:szCs w:val="26"/>
        </w:rPr>
      </w:pPr>
      <w:r w:rsidRPr="000D1D0D">
        <w:rPr>
          <w:sz w:val="26"/>
          <w:szCs w:val="26"/>
        </w:rPr>
        <w:t>своечасне написання розділів роботи.</w:t>
      </w:r>
      <w:r w:rsidR="008705F4" w:rsidRPr="000D1D0D">
        <w:rPr>
          <w:sz w:val="26"/>
          <w:szCs w:val="26"/>
        </w:rPr>
        <w:t xml:space="preserve"> </w:t>
      </w:r>
    </w:p>
    <w:p w:rsidR="008705F4" w:rsidRPr="000D1D0D" w:rsidRDefault="008705F4" w:rsidP="000D1D0D">
      <w:pPr>
        <w:pStyle w:val="a0"/>
        <w:spacing w:after="120"/>
        <w:ind w:left="907"/>
        <w:jc w:val="both"/>
        <w:rPr>
          <w:sz w:val="26"/>
          <w:szCs w:val="26"/>
        </w:rPr>
      </w:pPr>
    </w:p>
    <w:p w:rsidR="008705F4" w:rsidRPr="000D1D0D" w:rsidRDefault="008705F4" w:rsidP="000D1D0D">
      <w:pPr>
        <w:pStyle w:val="a0"/>
        <w:jc w:val="both"/>
        <w:rPr>
          <w:b/>
          <w:sz w:val="26"/>
          <w:szCs w:val="26"/>
        </w:rPr>
      </w:pPr>
      <w:r w:rsidRPr="000D1D0D">
        <w:rPr>
          <w:b/>
          <w:sz w:val="26"/>
          <w:szCs w:val="26"/>
        </w:rPr>
        <w:t>Штрафні та заохочувальні бали</w:t>
      </w:r>
    </w:p>
    <w:p w:rsidR="00F27F77" w:rsidRDefault="00EC0E6D" w:rsidP="00D22D47">
      <w:pPr>
        <w:pStyle w:val="a0"/>
        <w:numPr>
          <w:ilvl w:val="0"/>
          <w:numId w:val="26"/>
        </w:numPr>
        <w:spacing w:after="120"/>
        <w:jc w:val="both"/>
        <w:rPr>
          <w:sz w:val="26"/>
          <w:szCs w:val="26"/>
        </w:rPr>
      </w:pPr>
      <w:r w:rsidRPr="00F27F77">
        <w:rPr>
          <w:sz w:val="26"/>
          <w:szCs w:val="26"/>
        </w:rPr>
        <w:t>За несвоєчасну здачу завд</w:t>
      </w:r>
      <w:r w:rsidR="008705F4" w:rsidRPr="00F27F77">
        <w:rPr>
          <w:sz w:val="26"/>
          <w:szCs w:val="26"/>
        </w:rPr>
        <w:t xml:space="preserve">ання (без поважної причини) знімається - </w:t>
      </w:r>
      <w:r w:rsidR="00F27F77" w:rsidRPr="00F27F77">
        <w:rPr>
          <w:sz w:val="26"/>
          <w:szCs w:val="26"/>
        </w:rPr>
        <w:t>4</w:t>
      </w:r>
      <w:r w:rsidR="008705F4" w:rsidRPr="00F27F77">
        <w:rPr>
          <w:sz w:val="26"/>
          <w:szCs w:val="26"/>
        </w:rPr>
        <w:t xml:space="preserve"> бали </w:t>
      </w:r>
    </w:p>
    <w:p w:rsidR="008705F4" w:rsidRPr="00F27F77" w:rsidRDefault="008705F4" w:rsidP="00D22D47">
      <w:pPr>
        <w:pStyle w:val="a0"/>
        <w:numPr>
          <w:ilvl w:val="0"/>
          <w:numId w:val="26"/>
        </w:numPr>
        <w:spacing w:after="120"/>
        <w:jc w:val="both"/>
        <w:rPr>
          <w:sz w:val="26"/>
          <w:szCs w:val="26"/>
        </w:rPr>
      </w:pPr>
      <w:r w:rsidRPr="00F27F77">
        <w:rPr>
          <w:sz w:val="26"/>
          <w:szCs w:val="26"/>
        </w:rPr>
        <w:t xml:space="preserve">Заохочувальні бали додаються : </w:t>
      </w:r>
    </w:p>
    <w:p w:rsidR="008705F4" w:rsidRPr="000D1D0D" w:rsidRDefault="008705F4" w:rsidP="000D1D0D">
      <w:pPr>
        <w:pStyle w:val="a0"/>
        <w:numPr>
          <w:ilvl w:val="0"/>
          <w:numId w:val="26"/>
        </w:numPr>
        <w:spacing w:after="120"/>
        <w:jc w:val="both"/>
        <w:rPr>
          <w:sz w:val="26"/>
          <w:szCs w:val="26"/>
        </w:rPr>
      </w:pPr>
      <w:r w:rsidRPr="000D1D0D">
        <w:rPr>
          <w:sz w:val="26"/>
          <w:szCs w:val="26"/>
        </w:rPr>
        <w:t>За активну роботу нараховується до 1 заохочувального балу (але не більше 5 балів на семестр).</w:t>
      </w:r>
    </w:p>
    <w:p w:rsidR="008705F4" w:rsidRPr="000D1D0D" w:rsidRDefault="008705F4" w:rsidP="000D1D0D">
      <w:pPr>
        <w:pStyle w:val="a0"/>
        <w:numPr>
          <w:ilvl w:val="0"/>
          <w:numId w:val="26"/>
        </w:numPr>
        <w:spacing w:after="120"/>
        <w:jc w:val="both"/>
        <w:rPr>
          <w:sz w:val="26"/>
          <w:szCs w:val="26"/>
        </w:rPr>
      </w:pPr>
      <w:r w:rsidRPr="000D1D0D">
        <w:rPr>
          <w:sz w:val="26"/>
          <w:szCs w:val="26"/>
        </w:rPr>
        <w:t xml:space="preserve">за якість виконання </w:t>
      </w:r>
      <w:r w:rsidR="00EC0E6D" w:rsidRPr="000D1D0D">
        <w:rPr>
          <w:sz w:val="26"/>
          <w:szCs w:val="26"/>
        </w:rPr>
        <w:t>індівідуальних завдань</w:t>
      </w:r>
      <w:r w:rsidRPr="000D1D0D">
        <w:rPr>
          <w:sz w:val="26"/>
          <w:szCs w:val="26"/>
        </w:rPr>
        <w:t xml:space="preserve"> - 3 бали.</w:t>
      </w:r>
    </w:p>
    <w:p w:rsidR="00EC0E6D" w:rsidRPr="000D1D0D" w:rsidRDefault="00EC0E6D" w:rsidP="000D1D0D">
      <w:pPr>
        <w:pStyle w:val="a0"/>
        <w:spacing w:after="120"/>
        <w:jc w:val="both"/>
        <w:rPr>
          <w:sz w:val="26"/>
          <w:szCs w:val="26"/>
        </w:rPr>
      </w:pPr>
    </w:p>
    <w:p w:rsidR="008705F4" w:rsidRPr="000D1D0D" w:rsidRDefault="008705F4" w:rsidP="000D1D0D">
      <w:pPr>
        <w:pStyle w:val="a0"/>
        <w:spacing w:after="120"/>
        <w:jc w:val="both"/>
        <w:rPr>
          <w:sz w:val="26"/>
          <w:szCs w:val="26"/>
        </w:rPr>
      </w:pPr>
      <w:r w:rsidRPr="000D1D0D">
        <w:rPr>
          <w:bCs/>
          <w:sz w:val="26"/>
          <w:szCs w:val="26"/>
        </w:rPr>
        <w:t>Таблиця відповідності рейтингових балів оцінкам за університетською шкалою</w:t>
      </w:r>
      <w:r w:rsidRPr="000D1D0D">
        <w:rPr>
          <w:sz w:val="26"/>
          <w:szCs w:val="26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119"/>
        <w:gridCol w:w="2977"/>
      </w:tblGrid>
      <w:tr w:rsidR="00A162D2" w:rsidRPr="000D1D0D" w:rsidTr="006C1EC2">
        <w:trPr>
          <w:jc w:val="center"/>
        </w:trPr>
        <w:tc>
          <w:tcPr>
            <w:tcW w:w="3119" w:type="dxa"/>
          </w:tcPr>
          <w:p w:rsidR="008705F4" w:rsidRPr="000D1D0D" w:rsidRDefault="008705F4" w:rsidP="000D1D0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Кількість балів</w:t>
            </w:r>
          </w:p>
        </w:tc>
        <w:tc>
          <w:tcPr>
            <w:tcW w:w="2977" w:type="dxa"/>
          </w:tcPr>
          <w:p w:rsidR="008705F4" w:rsidRPr="000D1D0D" w:rsidRDefault="008705F4" w:rsidP="000D1D0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Оцінка</w:t>
            </w:r>
          </w:p>
        </w:tc>
      </w:tr>
      <w:tr w:rsidR="00A162D2" w:rsidRPr="000D1D0D" w:rsidTr="006C1EC2">
        <w:trPr>
          <w:jc w:val="center"/>
        </w:trPr>
        <w:tc>
          <w:tcPr>
            <w:tcW w:w="3119" w:type="dxa"/>
          </w:tcPr>
          <w:p w:rsidR="008705F4" w:rsidRPr="000D1D0D" w:rsidRDefault="008705F4" w:rsidP="000D1D0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100-95</w:t>
            </w:r>
          </w:p>
        </w:tc>
        <w:tc>
          <w:tcPr>
            <w:tcW w:w="2977" w:type="dxa"/>
            <w:vAlign w:val="center"/>
          </w:tcPr>
          <w:p w:rsidR="008705F4" w:rsidRPr="000D1D0D" w:rsidRDefault="008705F4" w:rsidP="000D1D0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Відмінно</w:t>
            </w:r>
          </w:p>
        </w:tc>
      </w:tr>
      <w:tr w:rsidR="00A162D2" w:rsidRPr="000D1D0D" w:rsidTr="006C1EC2">
        <w:trPr>
          <w:jc w:val="center"/>
        </w:trPr>
        <w:tc>
          <w:tcPr>
            <w:tcW w:w="3119" w:type="dxa"/>
          </w:tcPr>
          <w:p w:rsidR="008705F4" w:rsidRPr="000D1D0D" w:rsidRDefault="008705F4" w:rsidP="000D1D0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94-85</w:t>
            </w:r>
          </w:p>
        </w:tc>
        <w:tc>
          <w:tcPr>
            <w:tcW w:w="2977" w:type="dxa"/>
            <w:vAlign w:val="center"/>
          </w:tcPr>
          <w:p w:rsidR="008705F4" w:rsidRPr="000D1D0D" w:rsidRDefault="008705F4" w:rsidP="000D1D0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Дуже добре</w:t>
            </w:r>
          </w:p>
        </w:tc>
      </w:tr>
      <w:tr w:rsidR="00A162D2" w:rsidRPr="000D1D0D" w:rsidTr="006C1EC2">
        <w:trPr>
          <w:jc w:val="center"/>
        </w:trPr>
        <w:tc>
          <w:tcPr>
            <w:tcW w:w="3119" w:type="dxa"/>
          </w:tcPr>
          <w:p w:rsidR="008705F4" w:rsidRPr="000D1D0D" w:rsidRDefault="008705F4" w:rsidP="000D1D0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84-75</w:t>
            </w:r>
          </w:p>
        </w:tc>
        <w:tc>
          <w:tcPr>
            <w:tcW w:w="2977" w:type="dxa"/>
            <w:vAlign w:val="center"/>
          </w:tcPr>
          <w:p w:rsidR="008705F4" w:rsidRPr="000D1D0D" w:rsidRDefault="008705F4" w:rsidP="000D1D0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Добре</w:t>
            </w:r>
          </w:p>
        </w:tc>
      </w:tr>
      <w:tr w:rsidR="00A162D2" w:rsidRPr="000D1D0D" w:rsidTr="006C1EC2">
        <w:trPr>
          <w:jc w:val="center"/>
        </w:trPr>
        <w:tc>
          <w:tcPr>
            <w:tcW w:w="3119" w:type="dxa"/>
          </w:tcPr>
          <w:p w:rsidR="008705F4" w:rsidRPr="000D1D0D" w:rsidRDefault="008705F4" w:rsidP="000D1D0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74-65</w:t>
            </w:r>
          </w:p>
        </w:tc>
        <w:tc>
          <w:tcPr>
            <w:tcW w:w="2977" w:type="dxa"/>
            <w:vAlign w:val="center"/>
          </w:tcPr>
          <w:p w:rsidR="008705F4" w:rsidRPr="000D1D0D" w:rsidRDefault="008705F4" w:rsidP="000D1D0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Задовільно</w:t>
            </w:r>
          </w:p>
        </w:tc>
      </w:tr>
      <w:tr w:rsidR="00A162D2" w:rsidRPr="000D1D0D" w:rsidTr="006C1EC2">
        <w:trPr>
          <w:jc w:val="center"/>
        </w:trPr>
        <w:tc>
          <w:tcPr>
            <w:tcW w:w="3119" w:type="dxa"/>
          </w:tcPr>
          <w:p w:rsidR="008705F4" w:rsidRPr="000D1D0D" w:rsidRDefault="008705F4" w:rsidP="000D1D0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64-60</w:t>
            </w:r>
          </w:p>
        </w:tc>
        <w:tc>
          <w:tcPr>
            <w:tcW w:w="2977" w:type="dxa"/>
            <w:vAlign w:val="center"/>
          </w:tcPr>
          <w:p w:rsidR="008705F4" w:rsidRPr="000D1D0D" w:rsidRDefault="008705F4" w:rsidP="000D1D0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Достатньо</w:t>
            </w:r>
          </w:p>
        </w:tc>
      </w:tr>
      <w:tr w:rsidR="00A162D2" w:rsidRPr="000D1D0D" w:rsidTr="006C1EC2">
        <w:trPr>
          <w:jc w:val="center"/>
        </w:trPr>
        <w:tc>
          <w:tcPr>
            <w:tcW w:w="3119" w:type="dxa"/>
          </w:tcPr>
          <w:p w:rsidR="008705F4" w:rsidRPr="000D1D0D" w:rsidRDefault="008705F4" w:rsidP="000D1D0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lastRenderedPageBreak/>
              <w:t>Менше 60</w:t>
            </w:r>
          </w:p>
        </w:tc>
        <w:tc>
          <w:tcPr>
            <w:tcW w:w="2977" w:type="dxa"/>
            <w:vAlign w:val="center"/>
          </w:tcPr>
          <w:p w:rsidR="008705F4" w:rsidRPr="000D1D0D" w:rsidRDefault="008705F4" w:rsidP="000D1D0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Незадовільно</w:t>
            </w:r>
          </w:p>
        </w:tc>
      </w:tr>
      <w:tr w:rsidR="00A162D2" w:rsidRPr="000D1D0D" w:rsidTr="006C1EC2">
        <w:trPr>
          <w:jc w:val="center"/>
        </w:trPr>
        <w:tc>
          <w:tcPr>
            <w:tcW w:w="3119" w:type="dxa"/>
            <w:vAlign w:val="center"/>
          </w:tcPr>
          <w:p w:rsidR="008705F4" w:rsidRPr="000D1D0D" w:rsidRDefault="008705F4" w:rsidP="000D1D0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:rsidR="008705F4" w:rsidRPr="000D1D0D" w:rsidRDefault="008705F4" w:rsidP="000D1D0D">
            <w:pPr>
              <w:pStyle w:val="a0"/>
              <w:spacing w:after="120"/>
              <w:jc w:val="both"/>
              <w:rPr>
                <w:sz w:val="26"/>
                <w:szCs w:val="26"/>
              </w:rPr>
            </w:pPr>
            <w:r w:rsidRPr="000D1D0D">
              <w:rPr>
                <w:sz w:val="26"/>
                <w:szCs w:val="26"/>
              </w:rPr>
              <w:t>Не допущено</w:t>
            </w:r>
          </w:p>
        </w:tc>
      </w:tr>
    </w:tbl>
    <w:p w:rsidR="008705F4" w:rsidRPr="000D1D0D" w:rsidRDefault="008705F4" w:rsidP="000D1D0D">
      <w:pPr>
        <w:pStyle w:val="a0"/>
        <w:jc w:val="both"/>
        <w:rPr>
          <w:b/>
          <w:bCs/>
          <w:sz w:val="26"/>
          <w:szCs w:val="26"/>
        </w:rPr>
      </w:pPr>
    </w:p>
    <w:p w:rsidR="004A6336" w:rsidRPr="000D1D0D" w:rsidRDefault="004A6336" w:rsidP="000D1D0D">
      <w:pPr>
        <w:pStyle w:val="1"/>
        <w:spacing w:line="276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0D1D0D">
        <w:rPr>
          <w:rFonts w:ascii="Times New Roman" w:hAnsi="Times New Roman"/>
          <w:color w:val="auto"/>
          <w:sz w:val="26"/>
          <w:szCs w:val="26"/>
        </w:rPr>
        <w:t>Додаткова інформація з дисципліни</w:t>
      </w:r>
      <w:r w:rsidR="00087AFC" w:rsidRPr="000D1D0D">
        <w:rPr>
          <w:rFonts w:ascii="Times New Roman" w:hAnsi="Times New Roman"/>
          <w:color w:val="auto"/>
          <w:sz w:val="26"/>
          <w:szCs w:val="26"/>
        </w:rPr>
        <w:t xml:space="preserve"> (освітнього компонента)</w:t>
      </w:r>
    </w:p>
    <w:p w:rsidR="00314A2A" w:rsidRPr="000D1D0D" w:rsidRDefault="00314A2A" w:rsidP="000D1D0D">
      <w:pPr>
        <w:jc w:val="both"/>
        <w:rPr>
          <w:rFonts w:eastAsia="Times New Roman"/>
          <w:sz w:val="26"/>
          <w:szCs w:val="26"/>
          <w:lang w:eastAsia="ru-RU"/>
        </w:rPr>
      </w:pPr>
      <w:r w:rsidRPr="000D1D0D">
        <w:rPr>
          <w:b/>
          <w:bCs/>
          <w:sz w:val="26"/>
          <w:szCs w:val="26"/>
        </w:rPr>
        <w:t>Складено</w:t>
      </w:r>
      <w:r w:rsidRPr="000D1D0D">
        <w:rPr>
          <w:sz w:val="26"/>
          <w:szCs w:val="26"/>
        </w:rPr>
        <w:t xml:space="preserve"> </w:t>
      </w:r>
      <w:r w:rsidRPr="000D1D0D">
        <w:rPr>
          <w:rFonts w:eastAsia="Times New Roman"/>
          <w:sz w:val="26"/>
          <w:szCs w:val="26"/>
          <w:lang w:val="ru-RU" w:eastAsia="ru-RU"/>
        </w:rPr>
        <w:t>п</w:t>
      </w:r>
      <w:r w:rsidRPr="000D1D0D">
        <w:rPr>
          <w:rFonts w:eastAsia="Times New Roman"/>
          <w:sz w:val="26"/>
          <w:szCs w:val="26"/>
          <w:lang w:eastAsia="ru-RU"/>
        </w:rPr>
        <w:t xml:space="preserve">роф. каф. ОХ та ТОР, доктор хімічних наук, професор, Фокін Андрій Артурович </w:t>
      </w:r>
    </w:p>
    <w:p w:rsidR="00314A2A" w:rsidRPr="000D1D0D" w:rsidRDefault="00314A2A" w:rsidP="000D1D0D">
      <w:pPr>
        <w:jc w:val="both"/>
        <w:rPr>
          <w:rFonts w:eastAsia="Times New Roman"/>
          <w:sz w:val="26"/>
          <w:szCs w:val="26"/>
          <w:lang w:eastAsia="ru-RU"/>
        </w:rPr>
      </w:pPr>
    </w:p>
    <w:p w:rsidR="00573329" w:rsidRPr="000D1D0D" w:rsidRDefault="00573329" w:rsidP="000D1D0D">
      <w:pPr>
        <w:spacing w:after="120"/>
        <w:jc w:val="both"/>
        <w:rPr>
          <w:sz w:val="26"/>
          <w:szCs w:val="26"/>
        </w:rPr>
      </w:pPr>
      <w:r w:rsidRPr="000D1D0D">
        <w:rPr>
          <w:b/>
          <w:bCs/>
          <w:sz w:val="26"/>
          <w:szCs w:val="26"/>
        </w:rPr>
        <w:t>Ухвалено</w:t>
      </w:r>
      <w:r w:rsidRPr="000D1D0D">
        <w:rPr>
          <w:sz w:val="26"/>
          <w:szCs w:val="26"/>
        </w:rPr>
        <w:t xml:space="preserve"> </w:t>
      </w:r>
      <w:r w:rsidR="00E65F8B" w:rsidRPr="000D1D0D">
        <w:rPr>
          <w:sz w:val="26"/>
          <w:szCs w:val="26"/>
          <w:shd w:val="clear" w:color="auto" w:fill="FFFFFF"/>
          <w:lang w:val="ru-RU"/>
        </w:rPr>
        <w:t>кафедрою ОХ та ТОР (протокол № 14 </w:t>
      </w:r>
      <w:r w:rsidR="00E65F8B" w:rsidRPr="000D1D0D">
        <w:rPr>
          <w:sz w:val="26"/>
          <w:szCs w:val="26"/>
          <w:shd w:val="clear" w:color="auto" w:fill="FFFFFF"/>
        </w:rPr>
        <w:t>від 26.06.2021)</w:t>
      </w:r>
    </w:p>
    <w:p w:rsidR="005251A5" w:rsidRPr="000D1D0D" w:rsidRDefault="00E65F8B" w:rsidP="000D1D0D">
      <w:pPr>
        <w:spacing w:after="120"/>
        <w:jc w:val="both"/>
        <w:rPr>
          <w:bCs/>
          <w:sz w:val="26"/>
          <w:szCs w:val="26"/>
        </w:rPr>
      </w:pPr>
      <w:r w:rsidRPr="000D1D0D">
        <w:rPr>
          <w:sz w:val="26"/>
          <w:szCs w:val="26"/>
          <w:shd w:val="clear" w:color="auto" w:fill="FFFFFF"/>
        </w:rPr>
        <w:t>Погоджено Методичною комісією факультету (протокол № 10 від 23.06.2021)</w:t>
      </w:r>
    </w:p>
    <w:sectPr w:rsidR="005251A5" w:rsidRPr="000D1D0D" w:rsidSect="005413F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F1CB" w16cex:dateUtc="2020-08-24T23:11:00Z"/>
  <w16cex:commentExtensible w16cex:durableId="22EEEE78" w16cex:dateUtc="2020-08-24T22:57:00Z"/>
  <w16cex:commentExtensible w16cex:durableId="22EEF2AA" w16cex:dateUtc="2020-08-24T2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A1DE0" w16cid:durableId="22EEF1CB"/>
  <w16cid:commentId w16cid:paraId="72A2AA65" w16cid:durableId="22EEEE78"/>
  <w16cid:commentId w16cid:paraId="5F943EDA" w16cid:durableId="22EEF2A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EB1" w:rsidRDefault="000E6EB1" w:rsidP="004E0EDF">
      <w:pPr>
        <w:spacing w:line="240" w:lineRule="auto"/>
      </w:pPr>
      <w:r>
        <w:separator/>
      </w:r>
    </w:p>
  </w:endnote>
  <w:endnote w:type="continuationSeparator" w:id="0">
    <w:p w:rsidR="000E6EB1" w:rsidRDefault="000E6EB1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EB1" w:rsidRDefault="000E6EB1" w:rsidP="004E0EDF">
      <w:pPr>
        <w:spacing w:line="240" w:lineRule="auto"/>
      </w:pPr>
      <w:r>
        <w:separator/>
      </w:r>
    </w:p>
  </w:footnote>
  <w:footnote w:type="continuationSeparator" w:id="0">
    <w:p w:rsidR="000E6EB1" w:rsidRDefault="000E6EB1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669"/>
    <w:multiLevelType w:val="hybridMultilevel"/>
    <w:tmpl w:val="F50C80F0"/>
    <w:lvl w:ilvl="0" w:tplc="82821EE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0A0EDD"/>
    <w:multiLevelType w:val="hybridMultilevel"/>
    <w:tmpl w:val="AAC86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D5820"/>
    <w:multiLevelType w:val="hybridMultilevel"/>
    <w:tmpl w:val="F2BA85C2"/>
    <w:lvl w:ilvl="0" w:tplc="F976B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9705B"/>
    <w:multiLevelType w:val="hybridMultilevel"/>
    <w:tmpl w:val="77AA5732"/>
    <w:lvl w:ilvl="0" w:tplc="E4146094">
      <w:start w:val="1"/>
      <w:numFmt w:val="decimal"/>
      <w:lvlText w:val="%1."/>
      <w:lvlJc w:val="left"/>
      <w:pPr>
        <w:ind w:left="171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2219524D"/>
    <w:multiLevelType w:val="hybridMultilevel"/>
    <w:tmpl w:val="51500298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365224E1"/>
    <w:multiLevelType w:val="multilevel"/>
    <w:tmpl w:val="38F8D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>
    <w:nsid w:val="368D0425"/>
    <w:multiLevelType w:val="hybridMultilevel"/>
    <w:tmpl w:val="59C0A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1014E"/>
    <w:multiLevelType w:val="singleLevel"/>
    <w:tmpl w:val="1B5E34CA"/>
    <w:lvl w:ilvl="0">
      <w:start w:val="8"/>
      <w:numFmt w:val="bullet"/>
      <w:lvlText w:val="-"/>
      <w:lvlJc w:val="left"/>
      <w:pPr>
        <w:tabs>
          <w:tab w:val="num" w:pos="900"/>
        </w:tabs>
        <w:ind w:left="880" w:hanging="340"/>
      </w:pPr>
      <w:rPr>
        <w:sz w:val="22"/>
      </w:rPr>
    </w:lvl>
  </w:abstractNum>
  <w:abstractNum w:abstractNumId="10">
    <w:nsid w:val="3B317966"/>
    <w:multiLevelType w:val="hybridMultilevel"/>
    <w:tmpl w:val="0E149846"/>
    <w:lvl w:ilvl="0" w:tplc="19E0F502">
      <w:start w:val="1"/>
      <w:numFmt w:val="decimal"/>
      <w:suff w:val="space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60F8E"/>
    <w:multiLevelType w:val="hybridMultilevel"/>
    <w:tmpl w:val="4572B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>
    <w:nsid w:val="3EA202A0"/>
    <w:multiLevelType w:val="multilevel"/>
    <w:tmpl w:val="E01080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3F5854D1"/>
    <w:multiLevelType w:val="hybridMultilevel"/>
    <w:tmpl w:val="959E5C60"/>
    <w:lvl w:ilvl="0" w:tplc="5D54E8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51FD9"/>
    <w:multiLevelType w:val="hybridMultilevel"/>
    <w:tmpl w:val="189CA252"/>
    <w:lvl w:ilvl="0" w:tplc="DD06D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A5304"/>
    <w:multiLevelType w:val="multilevel"/>
    <w:tmpl w:val="4E9A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16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E5603"/>
    <w:multiLevelType w:val="hybridMultilevel"/>
    <w:tmpl w:val="F8DE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6"/>
  </w:num>
  <w:num w:numId="5">
    <w:abstractNumId w:val="20"/>
  </w:num>
  <w:num w:numId="6">
    <w:abstractNumId w:val="20"/>
  </w:num>
  <w:num w:numId="7">
    <w:abstractNumId w:val="20"/>
  </w:num>
  <w:num w:numId="8">
    <w:abstractNumId w:val="20"/>
    <w:lvlOverride w:ilvl="0">
      <w:startOverride w:val="1"/>
    </w:lvlOverride>
  </w:num>
  <w:num w:numId="9">
    <w:abstractNumId w:val="20"/>
  </w:num>
  <w:num w:numId="10">
    <w:abstractNumId w:val="20"/>
  </w:num>
  <w:num w:numId="11">
    <w:abstractNumId w:val="20"/>
  </w:num>
  <w:num w:numId="12">
    <w:abstractNumId w:val="8"/>
  </w:num>
  <w:num w:numId="13">
    <w:abstractNumId w:val="2"/>
  </w:num>
  <w:num w:numId="14">
    <w:abstractNumId w:val="14"/>
  </w:num>
  <w:num w:numId="15">
    <w:abstractNumId w:val="18"/>
  </w:num>
  <w:num w:numId="16">
    <w:abstractNumId w:val="11"/>
  </w:num>
  <w:num w:numId="17">
    <w:abstractNumId w:val="7"/>
  </w:num>
  <w:num w:numId="18">
    <w:abstractNumId w:val="1"/>
  </w:num>
  <w:num w:numId="19">
    <w:abstractNumId w:val="13"/>
  </w:num>
  <w:num w:numId="20">
    <w:abstractNumId w:val="10"/>
  </w:num>
  <w:num w:numId="21">
    <w:abstractNumId w:val="3"/>
  </w:num>
  <w:num w:numId="22">
    <w:abstractNumId w:val="0"/>
  </w:num>
  <w:num w:numId="23">
    <w:abstractNumId w:val="6"/>
  </w:num>
  <w:num w:numId="24">
    <w:abstractNumId w:val="15"/>
  </w:num>
  <w:num w:numId="25">
    <w:abstractNumId w:val="17"/>
  </w:num>
  <w:num w:numId="26">
    <w:abstractNumId w:val="9"/>
  </w:num>
  <w:num w:numId="27">
    <w:abstractNumId w:val="4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336"/>
    <w:rsid w:val="000078C7"/>
    <w:rsid w:val="000337AD"/>
    <w:rsid w:val="000710BB"/>
    <w:rsid w:val="00087AFC"/>
    <w:rsid w:val="000B222B"/>
    <w:rsid w:val="000C40A0"/>
    <w:rsid w:val="000D1D0D"/>
    <w:rsid w:val="000D1F73"/>
    <w:rsid w:val="000E6EB1"/>
    <w:rsid w:val="000F01A9"/>
    <w:rsid w:val="00113864"/>
    <w:rsid w:val="00126DD8"/>
    <w:rsid w:val="001435BE"/>
    <w:rsid w:val="00162029"/>
    <w:rsid w:val="001943AA"/>
    <w:rsid w:val="001D56C1"/>
    <w:rsid w:val="0022713A"/>
    <w:rsid w:val="0023533A"/>
    <w:rsid w:val="0024717A"/>
    <w:rsid w:val="00253BCC"/>
    <w:rsid w:val="00270675"/>
    <w:rsid w:val="002A7804"/>
    <w:rsid w:val="002B6BAB"/>
    <w:rsid w:val="002C2D02"/>
    <w:rsid w:val="002E5405"/>
    <w:rsid w:val="00306C33"/>
    <w:rsid w:val="00314A2A"/>
    <w:rsid w:val="00337EE8"/>
    <w:rsid w:val="00366871"/>
    <w:rsid w:val="003C1370"/>
    <w:rsid w:val="003C2684"/>
    <w:rsid w:val="003C70D8"/>
    <w:rsid w:val="003D35CF"/>
    <w:rsid w:val="003F0A41"/>
    <w:rsid w:val="004442EE"/>
    <w:rsid w:val="0046632F"/>
    <w:rsid w:val="00477565"/>
    <w:rsid w:val="00491B97"/>
    <w:rsid w:val="00494B8C"/>
    <w:rsid w:val="004A6336"/>
    <w:rsid w:val="004D0A5F"/>
    <w:rsid w:val="004D1575"/>
    <w:rsid w:val="004E0EDF"/>
    <w:rsid w:val="004F6918"/>
    <w:rsid w:val="004F7BDB"/>
    <w:rsid w:val="005251A5"/>
    <w:rsid w:val="00530BFF"/>
    <w:rsid w:val="00536A8F"/>
    <w:rsid w:val="00536E9C"/>
    <w:rsid w:val="005413FF"/>
    <w:rsid w:val="00556E26"/>
    <w:rsid w:val="00573329"/>
    <w:rsid w:val="0058537F"/>
    <w:rsid w:val="005B547D"/>
    <w:rsid w:val="005D764D"/>
    <w:rsid w:val="005E4337"/>
    <w:rsid w:val="005F4692"/>
    <w:rsid w:val="00601F04"/>
    <w:rsid w:val="00616236"/>
    <w:rsid w:val="00644413"/>
    <w:rsid w:val="00663FC1"/>
    <w:rsid w:val="006757B0"/>
    <w:rsid w:val="0068152C"/>
    <w:rsid w:val="006A11F5"/>
    <w:rsid w:val="006C2F40"/>
    <w:rsid w:val="006E65B0"/>
    <w:rsid w:val="006F5C29"/>
    <w:rsid w:val="00706B1B"/>
    <w:rsid w:val="00714AB2"/>
    <w:rsid w:val="007244E1"/>
    <w:rsid w:val="00773010"/>
    <w:rsid w:val="0077700A"/>
    <w:rsid w:val="00791855"/>
    <w:rsid w:val="007D54A2"/>
    <w:rsid w:val="007D68BE"/>
    <w:rsid w:val="007E3190"/>
    <w:rsid w:val="007E7F74"/>
    <w:rsid w:val="007F7C45"/>
    <w:rsid w:val="00807CA7"/>
    <w:rsid w:val="00814E81"/>
    <w:rsid w:val="00832CCE"/>
    <w:rsid w:val="008705F4"/>
    <w:rsid w:val="0087423F"/>
    <w:rsid w:val="00876EC8"/>
    <w:rsid w:val="00880FD0"/>
    <w:rsid w:val="00887281"/>
    <w:rsid w:val="00894491"/>
    <w:rsid w:val="008A03A1"/>
    <w:rsid w:val="008A4024"/>
    <w:rsid w:val="008B16FE"/>
    <w:rsid w:val="008D1B2D"/>
    <w:rsid w:val="00934496"/>
    <w:rsid w:val="00941384"/>
    <w:rsid w:val="00962C2E"/>
    <w:rsid w:val="00985F0D"/>
    <w:rsid w:val="009904B0"/>
    <w:rsid w:val="009B2B3E"/>
    <w:rsid w:val="009B2DDB"/>
    <w:rsid w:val="009B57AC"/>
    <w:rsid w:val="009F39E3"/>
    <w:rsid w:val="009F69B9"/>
    <w:rsid w:val="009F751E"/>
    <w:rsid w:val="00A162D2"/>
    <w:rsid w:val="00A2464E"/>
    <w:rsid w:val="00A2798C"/>
    <w:rsid w:val="00A52A4F"/>
    <w:rsid w:val="00A61172"/>
    <w:rsid w:val="00A70526"/>
    <w:rsid w:val="00A90398"/>
    <w:rsid w:val="00AA6B23"/>
    <w:rsid w:val="00AB05C9"/>
    <w:rsid w:val="00AD5593"/>
    <w:rsid w:val="00AD67D8"/>
    <w:rsid w:val="00AE0F70"/>
    <w:rsid w:val="00AE41A6"/>
    <w:rsid w:val="00AE740F"/>
    <w:rsid w:val="00B13CF4"/>
    <w:rsid w:val="00B1508E"/>
    <w:rsid w:val="00B20824"/>
    <w:rsid w:val="00B21CD5"/>
    <w:rsid w:val="00B40317"/>
    <w:rsid w:val="00B47838"/>
    <w:rsid w:val="00B85F5F"/>
    <w:rsid w:val="00BA590A"/>
    <w:rsid w:val="00BF1177"/>
    <w:rsid w:val="00C00C48"/>
    <w:rsid w:val="00C240D6"/>
    <w:rsid w:val="00C301EF"/>
    <w:rsid w:val="00C32BA6"/>
    <w:rsid w:val="00C42A21"/>
    <w:rsid w:val="00C55C12"/>
    <w:rsid w:val="00C607F2"/>
    <w:rsid w:val="00C75A9F"/>
    <w:rsid w:val="00CB78EF"/>
    <w:rsid w:val="00CC6E27"/>
    <w:rsid w:val="00D05879"/>
    <w:rsid w:val="00D2172D"/>
    <w:rsid w:val="00D525C0"/>
    <w:rsid w:val="00D643A5"/>
    <w:rsid w:val="00D82DA7"/>
    <w:rsid w:val="00D83999"/>
    <w:rsid w:val="00D92509"/>
    <w:rsid w:val="00DA2E1D"/>
    <w:rsid w:val="00E0088D"/>
    <w:rsid w:val="00E06AC5"/>
    <w:rsid w:val="00E17713"/>
    <w:rsid w:val="00E20280"/>
    <w:rsid w:val="00E5548D"/>
    <w:rsid w:val="00E65F8B"/>
    <w:rsid w:val="00E76790"/>
    <w:rsid w:val="00EA0EB9"/>
    <w:rsid w:val="00EB2DD2"/>
    <w:rsid w:val="00EB4F56"/>
    <w:rsid w:val="00EC0E6D"/>
    <w:rsid w:val="00EC4C8C"/>
    <w:rsid w:val="00F162DC"/>
    <w:rsid w:val="00F25DB2"/>
    <w:rsid w:val="00F27F77"/>
    <w:rsid w:val="00F32C6E"/>
    <w:rsid w:val="00F43125"/>
    <w:rsid w:val="00F51B26"/>
    <w:rsid w:val="00F677B9"/>
    <w:rsid w:val="00F77E2B"/>
    <w:rsid w:val="00F95D78"/>
    <w:rsid w:val="00FA2AC9"/>
    <w:rsid w:val="00FA4E33"/>
    <w:rsid w:val="00FC6E6A"/>
    <w:rsid w:val="00FF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36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uiPriority w:val="9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-211">
    <w:name w:val="Таблица-сетка 2 — акцент 11"/>
    <w:basedOn w:val="a2"/>
    <w:uiPriority w:val="47"/>
    <w:rsid w:val="00AB05C9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paragraph" w:customStyle="1" w:styleId="12">
    <w:name w:val="Абзац списка1"/>
    <w:basedOn w:val="a"/>
    <w:uiPriority w:val="34"/>
    <w:qFormat/>
    <w:rsid w:val="00162029"/>
    <w:pPr>
      <w:spacing w:after="200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1">
    <w:name w:val="Body Text"/>
    <w:basedOn w:val="a"/>
    <w:link w:val="af2"/>
    <w:rsid w:val="00AE0F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2">
    <w:name w:val="Основной текст Знак"/>
    <w:basedOn w:val="a1"/>
    <w:link w:val="af1"/>
    <w:rsid w:val="00AE0F70"/>
    <w:rPr>
      <w:sz w:val="28"/>
      <w:lang w:val="uk-UA"/>
    </w:rPr>
  </w:style>
  <w:style w:type="paragraph" w:styleId="af3">
    <w:name w:val="Normal (Web)"/>
    <w:basedOn w:val="a"/>
    <w:rsid w:val="00AE0F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af@xtf.kpi.ua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6EB59B-CEDE-44F8-BBD0-BFB9A488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Ірина Ко</cp:lastModifiedBy>
  <cp:revision>2</cp:revision>
  <cp:lastPrinted>2022-01-29T13:36:00Z</cp:lastPrinted>
  <dcterms:created xsi:type="dcterms:W3CDTF">2022-01-29T14:39:00Z</dcterms:created>
  <dcterms:modified xsi:type="dcterms:W3CDTF">2022-01-29T14:39:00Z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